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left"/>
        <w:rPr>
          <w:rFonts w:ascii="仿宋_GB2312" w:hAnsi="Times New Roman" w:eastAsia="仿宋_GB2312"/>
          <w:color w:val="000000"/>
          <w:sz w:val="44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</w:rPr>
        <w:t>XX园区</w:t>
      </w:r>
    </w:p>
    <w:p>
      <w:pPr>
        <w:widowControl/>
        <w:jc w:val="center"/>
        <w:rPr>
          <w:rFonts w:hint="eastAsia" w:ascii="方正小标宋简体" w:hAnsi="宋体" w:eastAsia="方正小标宋简体"/>
          <w:bCs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</w:rPr>
        <w:t>水效领跑者申请报告</w:t>
      </w: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both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仿宋_GB2312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color w:val="000000"/>
          <w:sz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</w:rPr>
        <w:t>202X年X月</w:t>
      </w:r>
    </w:p>
    <w:p>
      <w:pPr>
        <w:widowControl/>
        <w:jc w:val="left"/>
        <w:rPr>
          <w:rFonts w:ascii="仿宋_GB2312" w:hAnsi="Times New Roman" w:eastAsia="仿宋_GB2312"/>
          <w:color w:val="000000"/>
          <w:sz w:val="44"/>
        </w:rPr>
      </w:pPr>
    </w:p>
    <w:p>
      <w:pPr>
        <w:widowControl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填写说明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color w:val="000000"/>
          <w:sz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eastAsia="仿宋_GB2312"/>
          <w:sz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</w:rPr>
        <w:t>申报园区按照有关要求如实编写申请报告，并提供必要的证明材料。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</w:rPr>
        <w:t>申请报告包含但不限于下列内容：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（1）园区基本信息表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（2）园区水效分析报告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sz w:val="32"/>
        </w:rPr>
        <w:t>（3）园区自评表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3</w:t>
      </w:r>
      <w:r>
        <w:rPr>
          <w:rFonts w:hint="eastAsia" w:eastAsia="仿宋_GB2312"/>
          <w:sz w:val="32"/>
          <w:lang w:val="en-US" w:eastAsia="zh-CN"/>
        </w:rPr>
        <w:t>.</w:t>
      </w:r>
      <w:r>
        <w:rPr>
          <w:rFonts w:ascii="Times New Roman" w:hAnsi="Times New Roman" w:eastAsia="仿宋_GB2312"/>
          <w:sz w:val="32"/>
        </w:rPr>
        <w:t>以上材料需按顺序编排，并在相应位置加盖公章。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color w:val="000000"/>
          <w:sz w:val="32"/>
        </w:rPr>
      </w:pPr>
    </w:p>
    <w:p>
      <w:pPr>
        <w:widowControl/>
        <w:jc w:val="center"/>
        <w:outlineLvl w:val="0"/>
        <w:rPr>
          <w:rFonts w:hint="eastAsia" w:ascii="仿宋_GB2312" w:hAnsi="Times New Roman" w:eastAsia="仿宋_GB2312"/>
          <w:b/>
          <w:color w:val="000000"/>
          <w:kern w:val="0"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center"/>
        <w:outlineLvl w:val="0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园区基本信息表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55"/>
        <w:gridCol w:w="295"/>
        <w:gridCol w:w="2239"/>
        <w:gridCol w:w="468"/>
        <w:gridCol w:w="1058"/>
        <w:gridCol w:w="703"/>
        <w:gridCol w:w="78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园区名称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园区级别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国家级     □ 省级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详细地址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园区负责人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联系部门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装备制造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原材料工业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消费品工业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新兴产业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是否获得国家级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或省级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绿色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工业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园区称号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是       </w:t>
            </w:r>
            <w:r>
              <w:rPr>
                <w:rFonts w:hint="eastAsia" w:ascii="仿宋_GB2312" w:hAnsi="宋体" w:eastAsia="仿宋_GB2312"/>
                <w:color w:val="00000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二、园区水效指标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主导产业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highlight w:val="lightGray"/>
              </w:rPr>
            </w:pPr>
            <w:r>
              <w:rPr>
                <w:rFonts w:ascii="Times New Roman" w:hAnsi="Times New Roman" w:eastAsia="仿宋_GB2312"/>
                <w:sz w:val="24"/>
              </w:rPr>
              <w:t>主导产业销售收入占</w:t>
            </w:r>
            <w:r>
              <w:rPr>
                <w:rFonts w:hint="eastAsia" w:eastAsia="仿宋_GB2312"/>
                <w:sz w:val="24"/>
                <w:lang w:eastAsia="zh-CN"/>
              </w:rPr>
              <w:t>园</w:t>
            </w:r>
            <w:r>
              <w:rPr>
                <w:rFonts w:ascii="Times New Roman" w:hAnsi="Times New Roman"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sz w:val="24"/>
              </w:rPr>
              <w:t>销售收入比重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园区面积和企业数量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主要水源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2021年销售收入（万元）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2021年总产值（万元）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2021年工业增加值（万元）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2021年取水量（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立方米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常规水源取水量</w:t>
            </w:r>
          </w:p>
        </w:tc>
        <w:tc>
          <w:tcPr>
            <w:tcW w:w="45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非常规水源取水量</w:t>
            </w:r>
          </w:p>
        </w:tc>
        <w:tc>
          <w:tcPr>
            <w:tcW w:w="45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近三年园区水效指标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年份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2019年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2020年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万元工业增加值取水量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（立方米/万元）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水重复利用率（%）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万元工业增加值废水排放量（立方米/万元）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7" w:beforeLines="50"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我单位郑重承诺：本次申报国家水效领跑者所提交的相关数据和信息均真实、有效，近三年未发生重大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安全、污染事故或重大生态破坏事件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，愿接受并积极配合主管部门的监督抽查和核验。如有违反，愿承担由此产生的相应责任。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单位负责人（签字）：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（申报单位公章）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推荐单位意见：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（推荐单位公章）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widowControl/>
        <w:jc w:val="center"/>
        <w:outlineLvl w:val="0"/>
        <w:rPr>
          <w:rFonts w:hint="eastAsia" w:ascii="仿宋_GB2312" w:hAnsi="Times New Roman" w:eastAsia="仿宋_GB2312"/>
          <w:b/>
          <w:color w:val="000000"/>
          <w:kern w:val="0"/>
          <w:sz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</w:rPr>
        <w:t>园区水效分析报告（格式）</w:t>
      </w:r>
    </w:p>
    <w:p>
      <w:pPr>
        <w:widowControl/>
        <w:ind w:firstLine="723"/>
        <w:jc w:val="left"/>
        <w:rPr>
          <w:rFonts w:ascii="仿宋_GB2312" w:hAnsi="Times New Roman" w:eastAsia="仿宋_GB2312"/>
          <w:sz w:val="20"/>
        </w:rPr>
      </w:pPr>
    </w:p>
    <w:p>
      <w:pPr>
        <w:ind w:firstLine="640" w:firstLineChars="200"/>
        <w:outlineLvl w:val="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一、基本情况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（一）园区基本情况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包括园区地理位置（所属流域）、近三年的生产总值、工业增加值、主导产业、企业数量及规模、园区节水管理组织结构及人员配备情况等。</w:t>
      </w:r>
    </w:p>
    <w:p>
      <w:pPr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</w:rPr>
        <w:t>园区生产和取用水情况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包括园区主要企业的生产情况、用水环节、主要用水设备，以及园区取水水源（常规水源、非常规水源）、取水量、排水量、水质数据监测、串联用水、供水及排水管网建设、水循环利用设施建设、</w:t>
      </w:r>
      <w:r>
        <w:rPr>
          <w:rFonts w:hint="eastAsia" w:eastAsia="仿宋_GB2312"/>
          <w:color w:val="000000"/>
          <w:sz w:val="32"/>
          <w:lang w:eastAsia="zh-CN"/>
        </w:rPr>
        <w:t>废</w:t>
      </w:r>
      <w:r>
        <w:rPr>
          <w:rFonts w:ascii="Times New Roman" w:hAnsi="Times New Roman" w:eastAsia="仿宋_GB2312"/>
          <w:color w:val="000000"/>
          <w:sz w:val="32"/>
        </w:rPr>
        <w:t>水</w:t>
      </w:r>
      <w:r>
        <w:rPr>
          <w:rFonts w:hint="eastAsia" w:eastAsia="仿宋_GB2312"/>
          <w:color w:val="000000"/>
          <w:sz w:val="32"/>
          <w:lang w:eastAsia="zh-CN"/>
        </w:rPr>
        <w:t>循环</w:t>
      </w:r>
      <w:r>
        <w:rPr>
          <w:rFonts w:ascii="Times New Roman" w:hAnsi="Times New Roman" w:eastAsia="仿宋_GB2312"/>
          <w:color w:val="000000"/>
          <w:sz w:val="32"/>
        </w:rPr>
        <w:t>利用及处理设施建设等情况。</w:t>
      </w:r>
    </w:p>
    <w:p>
      <w:pPr>
        <w:ind w:firstLine="640" w:firstLineChars="200"/>
        <w:outlineLvl w:val="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二、园区水效指标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园区近三年水效指标。水效指标主要包括万元工业增加值取水量、水重复利用率、万元工业增加值废水排放量等。</w:t>
      </w:r>
    </w:p>
    <w:p>
      <w:pPr>
        <w:ind w:firstLine="640" w:firstLineChars="200"/>
        <w:outlineLvl w:val="0"/>
        <w:rPr>
          <w:rFonts w:hint="eastAsia" w:ascii="仿宋_GB2312" w:hAnsi="Times New Roman" w:eastAsia="仿宋_GB2312"/>
          <w:color w:val="000000"/>
          <w:sz w:val="32"/>
        </w:rPr>
      </w:pPr>
      <w:r>
        <w:rPr>
          <w:rFonts w:hint="eastAsia" w:ascii="仿宋_GB2312" w:hAnsi="Times New Roman" w:eastAsia="仿宋_GB2312"/>
          <w:color w:val="000000"/>
          <w:sz w:val="32"/>
        </w:rPr>
        <w:t>具体指标要求及报表格式依据以下标准：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color w:val="000000"/>
          <w:sz w:val="32"/>
          <w:szCs w:val="32"/>
        </w:rPr>
        <w:t>工业和信息化部办公厅关于开展绿色制造体系建设的通知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color w:val="000000"/>
          <w:sz w:val="32"/>
          <w:szCs w:val="32"/>
        </w:rPr>
        <w:t>（工信厅节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〔201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586号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附件2：绿色园区评价要求</w:t>
      </w:r>
    </w:p>
    <w:p>
      <w:pPr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21534-20</w:t>
      </w:r>
      <w:r>
        <w:rPr>
          <w:rFonts w:hint="eastAsia" w:eastAsia="仿宋_GB2312"/>
          <w:color w:val="000000"/>
          <w:sz w:val="32"/>
          <w:lang w:val="en-US" w:eastAsia="zh-CN"/>
        </w:rPr>
        <w:t>21</w:t>
      </w:r>
      <w:r>
        <w:rPr>
          <w:rFonts w:ascii="Times New Roman" w:hAnsi="Times New Roman" w:eastAsia="仿宋_GB2312"/>
          <w:color w:val="000000"/>
          <w:sz w:val="32"/>
        </w:rPr>
        <w:t xml:space="preserve"> </w:t>
      </w:r>
      <w:r>
        <w:rPr>
          <w:rFonts w:hint="eastAsia" w:eastAsia="仿宋_GB2312"/>
          <w:color w:val="000000"/>
          <w:sz w:val="32"/>
          <w:lang w:eastAsia="zh-CN"/>
        </w:rPr>
        <w:t>节约</w:t>
      </w:r>
      <w:r>
        <w:rPr>
          <w:rFonts w:ascii="Times New Roman" w:hAnsi="Times New Roman" w:eastAsia="仿宋_GB2312"/>
          <w:color w:val="000000"/>
          <w:sz w:val="32"/>
        </w:rPr>
        <w:t>用水 术语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 24789-2009 用水单位水计量器具配备和管理通则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7119-2018 节水型企业评价导则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26924-2011 节水型企业 钢铁行业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34610-2017 节水型企业 炼焦行业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26926-2011 节水型企业 石油炼制行业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32164-2015 节水型企业 乙烯行业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37271-2018 节水型企业 氯碱行业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36895-2018 节水型企业 氮肥行业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37759-2019 节水型企业 现代煤化工行业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26923-2011 节水型企业 纺织染整行业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37832-2019 节水型企业 化纤长丝织造行业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26927-2011 节水型企业 造纸行业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35576-2017 节水型企业 啤酒行业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32165-2015 节水型企业 味精行业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33232-2016 节水型企业 氧化铝行业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33233-2016 节水型企业 电解铝行业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 38907-2020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</w:rPr>
        <w:t>节水型企业 多晶硅行业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</w:rPr>
        <w:t>37332-2019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</w:rPr>
        <w:t>节水型企业 船舶行业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</w:p>
    <w:p>
      <w:pPr>
        <w:ind w:firstLine="64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GB/T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</w:rPr>
        <w:t>37608-2017节水型企业 铁矿采选行业</w:t>
      </w:r>
    </w:p>
    <w:p>
      <w:pPr>
        <w:ind w:firstLine="640" w:firstLineChars="200"/>
        <w:outlineLvl w:val="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三、水效提升经验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（一）园区节水管理经验。介绍园区在节水方面采取的管理措施、方法以及制定的相应管理制度和取得的效果。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二）园区节水技术经验。介绍园区实施的重大节水技术改造工程，包括种类、数量以及因此取得的节水效益；采用先进节水技术、装备和产品，采取的优化运行、水重复利用等方面的节水措施以及取得的节水效益</w:t>
      </w:r>
    </w:p>
    <w:p>
      <w:pPr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四、未来三年拟采取的主要水效提升措施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五、证明材料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此部分包括但不限于以下材料：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（一）园区管委会组织机构代码证复印件、园区成立的批复文件复印件；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（二）节水管理机构成立文件及人员配备、岗位职责分工证明材料；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32"/>
        </w:rPr>
        <w:t>（三）园区节水规划或工作方案、节水管理制度文件、节水统计台账、节水型企业创建情况、节水改造项目证明文件、先进节水工艺技术装备推广应用情况、节水宣传教育情况等证明材料。</w:t>
      </w:r>
    </w:p>
    <w:p>
      <w:pPr>
        <w:widowControl/>
        <w:jc w:val="center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</w:rPr>
        <w:t>园区自评表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一、自评总则</w:t>
      </w:r>
    </w:p>
    <w:p>
      <w:pPr>
        <w:spacing w:line="360" w:lineRule="auto"/>
        <w:ind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（一）水效领跑者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园区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自评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指标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分为一票否决指标和量化指标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，量化指标又分管理指标和技术指标。</w:t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（二）一票否决指标如有不满足项，取消该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园区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水效领跑者评选资格，不参加后续量化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指标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打分。</w:t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（三）采用上一年度统计数据对各项指标进行赋值和评价，评价指标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应以监测统计资料为依据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（四）管理指标总分须达到48分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，技术指标须达到表中最低限值。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二、自评表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（一）一票否决指标自评表见附表1，管理指标自评表见附表2，技术指标自评表见附表3。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（二）自评表中列出证明材料索引，相关证明材料附后。</w:t>
      </w:r>
    </w:p>
    <w:p>
      <w:pPr>
        <w:spacing w:before="156" w:beforeLines="50" w:line="360" w:lineRule="auto"/>
        <w:ind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before="156" w:beforeLines="50"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附表1</w:t>
      </w:r>
    </w:p>
    <w:p>
      <w:pPr>
        <w:spacing w:before="156" w:beforeLines="50" w:after="156" w:afterLines="50" w:line="360" w:lineRule="auto"/>
        <w:jc w:val="center"/>
        <w:textAlignment w:val="baseline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一票否决指标自评表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923"/>
        <w:gridCol w:w="1946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评价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有取用水资源的合法手续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近三年用水无超计划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近三年内未发生重大安全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、污染事故或重大生态破坏事件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建立健全节水管理制度，主要企业有配套的节水措施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新建、改建、扩建项目时实施节水“三同时”“四到位”制度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工业增加值取水量小于6.7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立方米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   □否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adjustRightInd w:val="0"/>
        <w:snapToGrid w:val="0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附表2</w:t>
      </w:r>
    </w:p>
    <w:p>
      <w:pPr>
        <w:spacing w:before="156" w:beforeLines="50" w:after="156" w:afterLines="50" w:line="360" w:lineRule="auto"/>
        <w:jc w:val="center"/>
        <w:textAlignment w:val="baseline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管理指标自评表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98"/>
        <w:gridCol w:w="2219"/>
        <w:gridCol w:w="5760"/>
        <w:gridCol w:w="1025"/>
        <w:gridCol w:w="133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tblHeader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评价指标</w:t>
            </w:r>
          </w:p>
        </w:tc>
        <w:tc>
          <w:tcPr>
            <w:tcW w:w="79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评价要求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总分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自评得分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组织管理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定期制定节水工作方案，建立节水工作考核奖励机制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①</w:t>
            </w:r>
            <w:r>
              <w:rPr>
                <w:rFonts w:ascii="Times New Roman" w:hAnsi="Times New Roman" w:eastAsia="仿宋_GB2312"/>
                <w:sz w:val="24"/>
              </w:rPr>
              <w:t>园区有节水规划或方案，得5分；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②</w:t>
            </w:r>
            <w:r>
              <w:rPr>
                <w:rFonts w:ascii="Times New Roman" w:hAnsi="Times New Roman" w:eastAsia="仿宋_GB2312"/>
                <w:sz w:val="24"/>
              </w:rPr>
              <w:t>园区节水管理部门严格用水监管，得5分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③</w:t>
            </w:r>
            <w:r>
              <w:rPr>
                <w:rFonts w:hint="eastAsia" w:ascii="Times New Roman" w:hAnsi="Times New Roman" w:eastAsia="仿宋_GB2312"/>
                <w:sz w:val="24"/>
              </w:rPr>
              <w:t>设有水务经理，</w:t>
            </w:r>
            <w:r>
              <w:rPr>
                <w:rFonts w:ascii="Times New Roman" w:hAnsi="Times New Roman" w:eastAsia="仿宋_GB2312"/>
                <w:sz w:val="24"/>
              </w:rPr>
              <w:t>得5分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用水管理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重视节水改造，各类用水设施符合节水要求。定期开展水平衡测试。严格用水管理，各类巡检、统计台账齐全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①园</w:t>
            </w:r>
            <w:r>
              <w:rPr>
                <w:rFonts w:ascii="Times New Roman" w:hAnsi="Times New Roman" w:eastAsia="仿宋_GB2312"/>
                <w:sz w:val="24"/>
              </w:rPr>
              <w:t>区有整体的供排水管网图和计量网络图，得3分；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ascii="Times New Roman" w:hAnsi="Times New Roman" w:eastAsia="仿宋_GB2312"/>
                <w:sz w:val="24"/>
              </w:rPr>
              <w:t>园区内部定期巡回检漏，得3分；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③</w:t>
            </w:r>
            <w:r>
              <w:rPr>
                <w:rFonts w:ascii="Times New Roman" w:hAnsi="Times New Roman" w:eastAsia="仿宋_GB2312"/>
                <w:sz w:val="24"/>
              </w:rPr>
              <w:t>园区内部实行计划用水管理，定期分解下达计划指标，用水计划管理规范，得4分；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ascii="Times New Roman" w:hAnsi="Times New Roman" w:eastAsia="仿宋_GB2312"/>
                <w:sz w:val="24"/>
              </w:rPr>
              <w:t>原始记录和统计台帐完整规范，按时完成统计报表，得3分；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</w:t>
            </w:r>
            <w:r>
              <w:rPr>
                <w:rFonts w:ascii="Times New Roman" w:hAnsi="Times New Roman" w:eastAsia="仿宋_GB2312"/>
                <w:sz w:val="24"/>
              </w:rPr>
              <w:t>所有企业近3年均开展过水平衡测试，得4分；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</w:t>
            </w:r>
            <w:r>
              <w:rPr>
                <w:rFonts w:ascii="Times New Roman" w:hAnsi="Times New Roman" w:eastAsia="仿宋_GB2312"/>
                <w:sz w:val="24"/>
              </w:rPr>
              <w:t>园区采用智慧水务，建设有用水实时监控系统/平台、用水在线监测设施等，得5分；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⑦</w:t>
            </w:r>
            <w:r>
              <w:rPr>
                <w:rFonts w:ascii="Times New Roman" w:hAnsi="Times New Roman" w:eastAsia="仿宋_GB2312"/>
                <w:sz w:val="24"/>
              </w:rPr>
              <w:t>园区内公共用水管理措施到位，无漫灌等浪费水现象，绿化采用高效浇灌方式，得3分；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⑧</w:t>
            </w:r>
            <w:r>
              <w:rPr>
                <w:rFonts w:ascii="Times New Roman" w:hAnsi="Times New Roman" w:eastAsia="仿宋_GB2312"/>
                <w:sz w:val="24"/>
              </w:rPr>
              <w:t>园区采用管道漏损报警平台等节水措施，得3分。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宣传教育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定期开展节水宣传教育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ascii="Times New Roman" w:hAnsi="Times New Roman" w:eastAsia="仿宋_GB2312"/>
                <w:sz w:val="24"/>
              </w:rPr>
              <w:t>组织开展“世界水日”“中国水周”等专题节水宣传活动，得3分；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②制</w:t>
            </w:r>
            <w:r>
              <w:rPr>
                <w:rFonts w:ascii="Times New Roman" w:hAnsi="Times New Roman" w:eastAsia="仿宋_GB2312"/>
                <w:sz w:val="24"/>
              </w:rPr>
              <w:t>定完善的节水宣传计划，得2分；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③</w:t>
            </w:r>
            <w:r>
              <w:rPr>
                <w:rFonts w:ascii="Times New Roman" w:hAnsi="Times New Roman" w:eastAsia="仿宋_GB2312"/>
                <w:sz w:val="24"/>
              </w:rPr>
              <w:t>企业领导和管水人员参加节水主管部门组织的节水学习和培训，员工节水意识强，得5分；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ascii="Times New Roman" w:hAnsi="Times New Roman" w:eastAsia="仿宋_GB2312"/>
                <w:sz w:val="24"/>
              </w:rPr>
              <w:t>公共场所有节水宣传标语、宣传栏、板报等，并定期维护，得2分。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非常规水源替代率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缺水城市达到15%以上，其他地区达到10%以上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达到评价要求得5分，每低5%扣2分，直至扣完。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水源结构</w:t>
            </w:r>
          </w:p>
        </w:tc>
        <w:tc>
          <w:tcPr>
            <w:tcW w:w="79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园区有使用地下水的情况。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-3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鼓励性指标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串联</w:t>
            </w:r>
            <w:r>
              <w:rPr>
                <w:rFonts w:hint="eastAsia" w:ascii="Times New Roman" w:hAnsi="Times New Roman" w:eastAsia="仿宋_GB2312"/>
                <w:sz w:val="24"/>
              </w:rPr>
              <w:t>用</w:t>
            </w:r>
            <w:r>
              <w:rPr>
                <w:rFonts w:ascii="Times New Roman" w:hAnsi="Times New Roman" w:eastAsia="仿宋_GB2312"/>
                <w:sz w:val="24"/>
              </w:rPr>
              <w:t>水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工业园区企业间实现一水多用、循序用水，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加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创新工作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园区推行合同节水管理</w:t>
            </w:r>
            <w:r>
              <w:rPr>
                <w:rFonts w:hint="eastAsia" w:ascii="Times New Roman" w:hAnsi="Times New Roman" w:eastAsia="仿宋_GB2312"/>
                <w:sz w:val="24"/>
              </w:rPr>
              <w:t>、用水审计</w:t>
            </w:r>
            <w:r>
              <w:rPr>
                <w:rFonts w:ascii="Times New Roman" w:hAnsi="Times New Roman" w:eastAsia="仿宋_GB2312"/>
                <w:sz w:val="24"/>
              </w:rPr>
              <w:t>，得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分。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绿色</w:t>
            </w:r>
            <w:r>
              <w:rPr>
                <w:rFonts w:hint="eastAsia" w:eastAsia="仿宋_GB2312"/>
                <w:sz w:val="24"/>
                <w:lang w:eastAsia="zh-CN"/>
              </w:rPr>
              <w:t>称号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园区</w:t>
            </w:r>
            <w:r>
              <w:rPr>
                <w:rFonts w:ascii="Times New Roman" w:hAnsi="Times New Roman" w:eastAsia="仿宋_GB2312"/>
                <w:sz w:val="24"/>
              </w:rPr>
              <w:t>获得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省级绿色工业园区</w:t>
            </w:r>
            <w:r>
              <w:rPr>
                <w:rFonts w:ascii="Times New Roman" w:hAnsi="Times New Roman" w:eastAsia="仿宋_GB2312"/>
                <w:sz w:val="24"/>
              </w:rPr>
              <w:t>称号，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加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1分。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园区</w:t>
            </w:r>
            <w:r>
              <w:rPr>
                <w:rFonts w:ascii="Times New Roman" w:hAnsi="Times New Roman" w:eastAsia="仿宋_GB2312"/>
                <w:sz w:val="24"/>
              </w:rPr>
              <w:t>获得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国家级绿色工业园区</w:t>
            </w:r>
            <w:r>
              <w:rPr>
                <w:rFonts w:ascii="Times New Roman" w:hAnsi="Times New Roman" w:eastAsia="仿宋_GB2312"/>
                <w:sz w:val="24"/>
              </w:rPr>
              <w:t>称号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，加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2分。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+1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管理指标自评总得分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注：1.自评打分依据：</w:t>
      </w:r>
    </w:p>
    <w:p>
      <w:pPr>
        <w:numPr>
          <w:ilvl w:val="0"/>
          <w:numId w:val="0"/>
        </w:numPr>
        <w:adjustRightInd w:val="0"/>
        <w:snapToGrid w:val="0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①</w:t>
      </w:r>
      <w:r>
        <w:rPr>
          <w:rFonts w:ascii="Times New Roman" w:hAnsi="Times New Roman" w:eastAsia="仿宋_GB2312"/>
          <w:bCs/>
          <w:sz w:val="24"/>
          <w:szCs w:val="24"/>
        </w:rPr>
        <w:t>第5项是扣分项，符合该条件扣3分，不符合不扣分</w:t>
      </w:r>
      <w:r>
        <w:rPr>
          <w:rFonts w:hint="eastAsia" w:ascii="Times New Roman" w:hAnsi="Times New Roman" w:eastAsia="仿宋_GB2312"/>
          <w:bCs/>
          <w:sz w:val="24"/>
          <w:szCs w:val="24"/>
        </w:rPr>
        <w:t>；</w:t>
      </w:r>
    </w:p>
    <w:p>
      <w:pPr>
        <w:numPr>
          <w:ilvl w:val="0"/>
          <w:numId w:val="0"/>
        </w:numPr>
        <w:adjustRightInd w:val="0"/>
        <w:snapToGrid w:val="0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②</w:t>
      </w:r>
      <w:r>
        <w:rPr>
          <w:rFonts w:ascii="Times New Roman" w:hAnsi="Times New Roman" w:eastAsia="仿宋_GB2312"/>
          <w:bCs/>
          <w:sz w:val="24"/>
          <w:szCs w:val="24"/>
        </w:rPr>
        <w:t>第6项是加分项，符合该条件，可加分，不符合不加分。</w:t>
      </w:r>
    </w:p>
    <w:p>
      <w:pPr>
        <w:adjustRightInd w:val="0"/>
        <w:snapToGrid w:val="0"/>
        <w:jc w:val="left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bCs/>
          <w:sz w:val="24"/>
          <w:szCs w:val="24"/>
        </w:rPr>
        <w:t>2.</w:t>
      </w:r>
      <w:r>
        <w:rPr>
          <w:rFonts w:hint="eastAsia" w:ascii="Times New Roman" w:hAnsi="Times New Roman" w:eastAsia="仿宋_GB2312"/>
          <w:bCs/>
          <w:sz w:val="24"/>
          <w:szCs w:val="24"/>
        </w:rPr>
        <w:t>证明材料索引</w:t>
      </w:r>
      <w:r>
        <w:rPr>
          <w:rFonts w:ascii="Times New Roman" w:hAnsi="Times New Roman" w:eastAsia="仿宋_GB2312"/>
          <w:bCs/>
          <w:sz w:val="24"/>
          <w:szCs w:val="24"/>
        </w:rPr>
        <w:t>：附上相关文件、记录等证明自评得分的材料索引。</w:t>
      </w:r>
    </w:p>
    <w:p>
      <w:pPr>
        <w:spacing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textAlignment w:val="baseline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附表3</w:t>
      </w:r>
    </w:p>
    <w:p>
      <w:pPr>
        <w:spacing w:before="156" w:beforeLines="50" w:after="156" w:afterLines="50" w:line="360" w:lineRule="auto"/>
        <w:jc w:val="center"/>
        <w:textAlignment w:val="baseline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技术指标自评表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28"/>
        <w:gridCol w:w="2068"/>
        <w:gridCol w:w="1718"/>
        <w:gridCol w:w="2550"/>
        <w:gridCol w:w="2415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技术内容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技术指标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评价值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自评结果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取水量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万元</w:t>
            </w:r>
            <w:r>
              <w:rPr>
                <w:rFonts w:ascii="Times New Roman" w:hAnsi="Times New Roman" w:eastAsia="仿宋_GB2312"/>
                <w:sz w:val="24"/>
              </w:rPr>
              <w:t>工业增加值取水量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立方米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≤6.7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重复利用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水重复利用率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%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≥90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排水量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万元</w:t>
            </w:r>
            <w:r>
              <w:rPr>
                <w:rFonts w:ascii="Times New Roman" w:hAnsi="Times New Roman" w:eastAsia="仿宋_GB2312"/>
                <w:sz w:val="24"/>
              </w:rPr>
              <w:t>工业增加值废水排放量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立方米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≤5 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64"/>
      <w:suff w:val="nothing"/>
      <w:lvlText w:val="表%1　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 w:tentative="0">
      <w:start w:val="0"/>
      <w:numFmt w:val="none"/>
      <w:pStyle w:val="57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55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upperLetter"/>
      <w:pStyle w:val="48"/>
      <w:suff w:val="nothing"/>
      <w:lvlText w:val="附　录　%1"/>
      <w:lvlJc w:val="left"/>
      <w:pPr>
        <w:ind w:left="476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5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D"/>
    <w:rsid w:val="00006026"/>
    <w:rsid w:val="00016235"/>
    <w:rsid w:val="00031618"/>
    <w:rsid w:val="00036F72"/>
    <w:rsid w:val="00045261"/>
    <w:rsid w:val="000626A3"/>
    <w:rsid w:val="0009399D"/>
    <w:rsid w:val="000A51B8"/>
    <w:rsid w:val="000B2D73"/>
    <w:rsid w:val="000C16FE"/>
    <w:rsid w:val="000D1014"/>
    <w:rsid w:val="000D289C"/>
    <w:rsid w:val="000D3D4F"/>
    <w:rsid w:val="001179F8"/>
    <w:rsid w:val="00120441"/>
    <w:rsid w:val="00123111"/>
    <w:rsid w:val="001542BF"/>
    <w:rsid w:val="00157068"/>
    <w:rsid w:val="00165D1C"/>
    <w:rsid w:val="00181020"/>
    <w:rsid w:val="001949D7"/>
    <w:rsid w:val="001C1F14"/>
    <w:rsid w:val="001C29F4"/>
    <w:rsid w:val="001D1226"/>
    <w:rsid w:val="001D45D9"/>
    <w:rsid w:val="001D60E8"/>
    <w:rsid w:val="001E55C6"/>
    <w:rsid w:val="001F66C4"/>
    <w:rsid w:val="00202AF0"/>
    <w:rsid w:val="00210862"/>
    <w:rsid w:val="0021247C"/>
    <w:rsid w:val="0024216F"/>
    <w:rsid w:val="00243EF8"/>
    <w:rsid w:val="00272D55"/>
    <w:rsid w:val="00296C04"/>
    <w:rsid w:val="002A2D41"/>
    <w:rsid w:val="002A7D0F"/>
    <w:rsid w:val="002B1124"/>
    <w:rsid w:val="002F1DBF"/>
    <w:rsid w:val="002F3885"/>
    <w:rsid w:val="002F7F17"/>
    <w:rsid w:val="00300A99"/>
    <w:rsid w:val="003044BA"/>
    <w:rsid w:val="0030497D"/>
    <w:rsid w:val="00317468"/>
    <w:rsid w:val="00335905"/>
    <w:rsid w:val="003367A4"/>
    <w:rsid w:val="00341A28"/>
    <w:rsid w:val="00367D88"/>
    <w:rsid w:val="00384005"/>
    <w:rsid w:val="00397E48"/>
    <w:rsid w:val="003A690B"/>
    <w:rsid w:val="003C53A0"/>
    <w:rsid w:val="003E1530"/>
    <w:rsid w:val="00401DB8"/>
    <w:rsid w:val="00407654"/>
    <w:rsid w:val="00423F6B"/>
    <w:rsid w:val="0042708C"/>
    <w:rsid w:val="004417CB"/>
    <w:rsid w:val="004456EE"/>
    <w:rsid w:val="00451359"/>
    <w:rsid w:val="0045293F"/>
    <w:rsid w:val="004609B8"/>
    <w:rsid w:val="0046289F"/>
    <w:rsid w:val="00471D9B"/>
    <w:rsid w:val="0048522A"/>
    <w:rsid w:val="00490DF6"/>
    <w:rsid w:val="004B3724"/>
    <w:rsid w:val="004B5E37"/>
    <w:rsid w:val="004D3061"/>
    <w:rsid w:val="004D3988"/>
    <w:rsid w:val="004E7B4B"/>
    <w:rsid w:val="004F68B5"/>
    <w:rsid w:val="00500136"/>
    <w:rsid w:val="00502123"/>
    <w:rsid w:val="00531A8E"/>
    <w:rsid w:val="00533CB0"/>
    <w:rsid w:val="0053678B"/>
    <w:rsid w:val="005419C3"/>
    <w:rsid w:val="0054222B"/>
    <w:rsid w:val="00544B60"/>
    <w:rsid w:val="00567D2B"/>
    <w:rsid w:val="005711CF"/>
    <w:rsid w:val="00572F97"/>
    <w:rsid w:val="0058648A"/>
    <w:rsid w:val="00591C7F"/>
    <w:rsid w:val="00596545"/>
    <w:rsid w:val="005C2AB6"/>
    <w:rsid w:val="005D7F9F"/>
    <w:rsid w:val="005E1774"/>
    <w:rsid w:val="005E6FA0"/>
    <w:rsid w:val="006134D7"/>
    <w:rsid w:val="006405A3"/>
    <w:rsid w:val="0064582A"/>
    <w:rsid w:val="00654A8F"/>
    <w:rsid w:val="006662D0"/>
    <w:rsid w:val="006702E8"/>
    <w:rsid w:val="00676BA0"/>
    <w:rsid w:val="006868EF"/>
    <w:rsid w:val="006B0B4E"/>
    <w:rsid w:val="006B1BAF"/>
    <w:rsid w:val="006B4D55"/>
    <w:rsid w:val="006B557D"/>
    <w:rsid w:val="006B74E6"/>
    <w:rsid w:val="006C1630"/>
    <w:rsid w:val="006E13E3"/>
    <w:rsid w:val="00710431"/>
    <w:rsid w:val="00727F26"/>
    <w:rsid w:val="0077555D"/>
    <w:rsid w:val="00784172"/>
    <w:rsid w:val="00790613"/>
    <w:rsid w:val="007A4248"/>
    <w:rsid w:val="007B28C3"/>
    <w:rsid w:val="007C749F"/>
    <w:rsid w:val="007E07AC"/>
    <w:rsid w:val="007E1606"/>
    <w:rsid w:val="0080491F"/>
    <w:rsid w:val="00814250"/>
    <w:rsid w:val="008515E0"/>
    <w:rsid w:val="00870BFF"/>
    <w:rsid w:val="00873F0C"/>
    <w:rsid w:val="008911D0"/>
    <w:rsid w:val="00894E27"/>
    <w:rsid w:val="008968CE"/>
    <w:rsid w:val="008A0C10"/>
    <w:rsid w:val="008A1861"/>
    <w:rsid w:val="008C67BD"/>
    <w:rsid w:val="008C6D71"/>
    <w:rsid w:val="008E36D2"/>
    <w:rsid w:val="0090647E"/>
    <w:rsid w:val="009176A2"/>
    <w:rsid w:val="00924E95"/>
    <w:rsid w:val="00932306"/>
    <w:rsid w:val="00945AE6"/>
    <w:rsid w:val="0096772D"/>
    <w:rsid w:val="009832F8"/>
    <w:rsid w:val="00990A7C"/>
    <w:rsid w:val="009A0C73"/>
    <w:rsid w:val="009A2D71"/>
    <w:rsid w:val="009E3CC8"/>
    <w:rsid w:val="00A0614F"/>
    <w:rsid w:val="00A3441B"/>
    <w:rsid w:val="00A40F47"/>
    <w:rsid w:val="00A478EF"/>
    <w:rsid w:val="00A572B8"/>
    <w:rsid w:val="00A61C87"/>
    <w:rsid w:val="00A63CF6"/>
    <w:rsid w:val="00A652E2"/>
    <w:rsid w:val="00A81CE2"/>
    <w:rsid w:val="00A9100A"/>
    <w:rsid w:val="00A97C12"/>
    <w:rsid w:val="00AB7C24"/>
    <w:rsid w:val="00AC022E"/>
    <w:rsid w:val="00AC4396"/>
    <w:rsid w:val="00AD4E44"/>
    <w:rsid w:val="00AE2FFF"/>
    <w:rsid w:val="00AF754F"/>
    <w:rsid w:val="00B01997"/>
    <w:rsid w:val="00B021CF"/>
    <w:rsid w:val="00B21F67"/>
    <w:rsid w:val="00B24514"/>
    <w:rsid w:val="00B249D2"/>
    <w:rsid w:val="00B31073"/>
    <w:rsid w:val="00B329B7"/>
    <w:rsid w:val="00B35A25"/>
    <w:rsid w:val="00B414A3"/>
    <w:rsid w:val="00B4665D"/>
    <w:rsid w:val="00B55A16"/>
    <w:rsid w:val="00B57295"/>
    <w:rsid w:val="00B66378"/>
    <w:rsid w:val="00B70B65"/>
    <w:rsid w:val="00B72B60"/>
    <w:rsid w:val="00B800BC"/>
    <w:rsid w:val="00B85371"/>
    <w:rsid w:val="00B967E3"/>
    <w:rsid w:val="00BB375B"/>
    <w:rsid w:val="00C2072A"/>
    <w:rsid w:val="00C32A15"/>
    <w:rsid w:val="00C558E5"/>
    <w:rsid w:val="00C621F7"/>
    <w:rsid w:val="00C707FD"/>
    <w:rsid w:val="00C931AB"/>
    <w:rsid w:val="00CA3540"/>
    <w:rsid w:val="00CA3AFA"/>
    <w:rsid w:val="00CB458A"/>
    <w:rsid w:val="00CC143D"/>
    <w:rsid w:val="00CD40BF"/>
    <w:rsid w:val="00D14C05"/>
    <w:rsid w:val="00D758CC"/>
    <w:rsid w:val="00DC7A14"/>
    <w:rsid w:val="00DD0521"/>
    <w:rsid w:val="00DF5746"/>
    <w:rsid w:val="00DF7FCD"/>
    <w:rsid w:val="00E01A8E"/>
    <w:rsid w:val="00E16E2D"/>
    <w:rsid w:val="00E33C71"/>
    <w:rsid w:val="00E573E9"/>
    <w:rsid w:val="00E618B4"/>
    <w:rsid w:val="00E66C97"/>
    <w:rsid w:val="00E73A53"/>
    <w:rsid w:val="00E75E2E"/>
    <w:rsid w:val="00E84328"/>
    <w:rsid w:val="00E8760B"/>
    <w:rsid w:val="00E9098F"/>
    <w:rsid w:val="00E911A4"/>
    <w:rsid w:val="00E93BF6"/>
    <w:rsid w:val="00EA176E"/>
    <w:rsid w:val="00EB5179"/>
    <w:rsid w:val="00EC340A"/>
    <w:rsid w:val="00EC6B8E"/>
    <w:rsid w:val="00ED658E"/>
    <w:rsid w:val="00EF6C2A"/>
    <w:rsid w:val="00EF7F19"/>
    <w:rsid w:val="00F04CD2"/>
    <w:rsid w:val="00F06EA6"/>
    <w:rsid w:val="00F06F21"/>
    <w:rsid w:val="00F249BF"/>
    <w:rsid w:val="00F316B4"/>
    <w:rsid w:val="00F42CBB"/>
    <w:rsid w:val="00F437C3"/>
    <w:rsid w:val="00F43986"/>
    <w:rsid w:val="00F57CD1"/>
    <w:rsid w:val="00F62235"/>
    <w:rsid w:val="00F63DC1"/>
    <w:rsid w:val="00F64436"/>
    <w:rsid w:val="00F6618F"/>
    <w:rsid w:val="00F839EE"/>
    <w:rsid w:val="00FA3057"/>
    <w:rsid w:val="00FA60EA"/>
    <w:rsid w:val="00FD232F"/>
    <w:rsid w:val="00FE44F1"/>
    <w:rsid w:val="00FF191F"/>
    <w:rsid w:val="0159255F"/>
    <w:rsid w:val="01CA0862"/>
    <w:rsid w:val="08814300"/>
    <w:rsid w:val="090E7854"/>
    <w:rsid w:val="0999150F"/>
    <w:rsid w:val="0E4100A6"/>
    <w:rsid w:val="12DB284C"/>
    <w:rsid w:val="14C64E08"/>
    <w:rsid w:val="15F3690F"/>
    <w:rsid w:val="16A53E12"/>
    <w:rsid w:val="19BC6DBA"/>
    <w:rsid w:val="1EBB7020"/>
    <w:rsid w:val="20A82C42"/>
    <w:rsid w:val="21112296"/>
    <w:rsid w:val="28C7522D"/>
    <w:rsid w:val="2AA92A94"/>
    <w:rsid w:val="2B972785"/>
    <w:rsid w:val="2C9445D8"/>
    <w:rsid w:val="2F7D7CC1"/>
    <w:rsid w:val="2FFF312B"/>
    <w:rsid w:val="317BC868"/>
    <w:rsid w:val="331C60B2"/>
    <w:rsid w:val="34874A10"/>
    <w:rsid w:val="34D54F99"/>
    <w:rsid w:val="36190E45"/>
    <w:rsid w:val="38E701FD"/>
    <w:rsid w:val="3A2A49FB"/>
    <w:rsid w:val="3ADBF526"/>
    <w:rsid w:val="3C0C232E"/>
    <w:rsid w:val="41314FEA"/>
    <w:rsid w:val="4B121E77"/>
    <w:rsid w:val="4BAB61F0"/>
    <w:rsid w:val="4C7E513F"/>
    <w:rsid w:val="4FFCE221"/>
    <w:rsid w:val="4FFF1440"/>
    <w:rsid w:val="543D640F"/>
    <w:rsid w:val="55005A82"/>
    <w:rsid w:val="577F7593"/>
    <w:rsid w:val="587A494C"/>
    <w:rsid w:val="589A0BBF"/>
    <w:rsid w:val="58CFCFB9"/>
    <w:rsid w:val="5BCB56F5"/>
    <w:rsid w:val="5C9FC878"/>
    <w:rsid w:val="5D666C36"/>
    <w:rsid w:val="5EF6454D"/>
    <w:rsid w:val="5FE5BB08"/>
    <w:rsid w:val="6147691B"/>
    <w:rsid w:val="61CA1D14"/>
    <w:rsid w:val="63FFF6A4"/>
    <w:rsid w:val="69422E30"/>
    <w:rsid w:val="69502D4F"/>
    <w:rsid w:val="6B9E1725"/>
    <w:rsid w:val="6E3B4E99"/>
    <w:rsid w:val="6EBE2514"/>
    <w:rsid w:val="6F560974"/>
    <w:rsid w:val="6FF75F75"/>
    <w:rsid w:val="72ED68B8"/>
    <w:rsid w:val="765C8B38"/>
    <w:rsid w:val="767F6353"/>
    <w:rsid w:val="77DF6540"/>
    <w:rsid w:val="78E01D39"/>
    <w:rsid w:val="7AFE34D3"/>
    <w:rsid w:val="7BBD7664"/>
    <w:rsid w:val="7BBF35BD"/>
    <w:rsid w:val="7BF75EF4"/>
    <w:rsid w:val="7BFF51C7"/>
    <w:rsid w:val="7C214098"/>
    <w:rsid w:val="7D361182"/>
    <w:rsid w:val="7DBC598D"/>
    <w:rsid w:val="7DEFF90A"/>
    <w:rsid w:val="7E8BFC09"/>
    <w:rsid w:val="7ED6CB8F"/>
    <w:rsid w:val="7EFAB148"/>
    <w:rsid w:val="7FEDBF02"/>
    <w:rsid w:val="7FFF9B80"/>
    <w:rsid w:val="8DF39A12"/>
    <w:rsid w:val="A7DC9DC7"/>
    <w:rsid w:val="A7FF2D34"/>
    <w:rsid w:val="B5ED4333"/>
    <w:rsid w:val="BAF61F5C"/>
    <w:rsid w:val="BBCF03B5"/>
    <w:rsid w:val="BCA74508"/>
    <w:rsid w:val="BD3BB156"/>
    <w:rsid w:val="BF94BF09"/>
    <w:rsid w:val="DDD5366B"/>
    <w:rsid w:val="DF5FC20A"/>
    <w:rsid w:val="DFDAFC8B"/>
    <w:rsid w:val="E7DFFC46"/>
    <w:rsid w:val="F2F74C1A"/>
    <w:rsid w:val="F7FC6A7C"/>
    <w:rsid w:val="F7FF135F"/>
    <w:rsid w:val="F99F3A33"/>
    <w:rsid w:val="FE2A4068"/>
    <w:rsid w:val="FED6A84A"/>
    <w:rsid w:val="FEFD977E"/>
    <w:rsid w:val="FEFF60FD"/>
    <w:rsid w:val="FFEF8C22"/>
    <w:rsid w:val="FFF7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23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 2"/>
    <w:basedOn w:val="1"/>
    <w:link w:val="24"/>
    <w:qFormat/>
    <w:uiPriority w:val="0"/>
    <w:pPr>
      <w:ind w:hanging="2"/>
      <w:jc w:val="left"/>
    </w:pPr>
    <w:rPr>
      <w:rFonts w:ascii="Times New Roman" w:hAnsi="Times New Roman"/>
      <w:kern w:val="0"/>
      <w:sz w:val="20"/>
      <w:szCs w:val="24"/>
    </w:rPr>
  </w:style>
  <w:style w:type="paragraph" w:styleId="8">
    <w:name w:val="Balloon Text"/>
    <w:basedOn w:val="1"/>
    <w:link w:val="25"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link w:val="28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annotation subject"/>
    <w:basedOn w:val="6"/>
    <w:next w:val="6"/>
    <w:link w:val="29"/>
    <w:qFormat/>
    <w:uiPriority w:val="0"/>
    <w:rPr>
      <w:rFonts w:ascii="Calibri" w:hAnsi="Calibri"/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hint="default" w:ascii="Times New Roman" w:hAnsi="Times New Roman" w:eastAsia="宋体" w:cs="Times New Roman"/>
      <w:b/>
      <w:bCs/>
    </w:rPr>
  </w:style>
  <w:style w:type="character" w:styleId="17">
    <w:name w:val="Emphasis"/>
    <w:qFormat/>
    <w:uiPriority w:val="0"/>
    <w:rPr>
      <w:rFonts w:hint="default" w:ascii="Times New Roman" w:hAnsi="Times New Roman" w:eastAsia="宋体" w:cs="Times New Roman"/>
      <w:color w:val="CC000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3">
    <w:name w:val="批注文字 字符"/>
    <w:link w:val="6"/>
    <w:qFormat/>
    <w:uiPriority w:val="0"/>
    <w:rPr>
      <w:rFonts w:ascii="Times New Roman" w:hAnsi="Times New Roman" w:eastAsia="宋体"/>
    </w:rPr>
  </w:style>
  <w:style w:type="character" w:customStyle="1" w:styleId="24">
    <w:name w:val="正文文本缩进 2 字符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字符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字符"/>
    <w:link w:val="9"/>
    <w:qFormat/>
    <w:uiPriority w:val="0"/>
    <w:rPr>
      <w:sz w:val="18"/>
      <w:szCs w:val="18"/>
    </w:rPr>
  </w:style>
  <w:style w:type="character" w:customStyle="1" w:styleId="27">
    <w:name w:val="页眉 字符"/>
    <w:link w:val="10"/>
    <w:qFormat/>
    <w:uiPriority w:val="0"/>
    <w:rPr>
      <w:sz w:val="18"/>
      <w:szCs w:val="18"/>
    </w:rPr>
  </w:style>
  <w:style w:type="character" w:customStyle="1" w:styleId="28">
    <w:name w:val="脚注文本 字符"/>
    <w:link w:val="1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29">
    <w:name w:val="批注主题 字符"/>
    <w:link w:val="12"/>
    <w:qFormat/>
    <w:uiPriority w:val="0"/>
    <w:rPr>
      <w:rFonts w:ascii="Calibri" w:hAnsi="Calibri" w:eastAsia="宋体"/>
      <w:b/>
      <w:bCs/>
    </w:rPr>
  </w:style>
  <w:style w:type="character" w:customStyle="1" w:styleId="30">
    <w:name w:val="列出段落 Char"/>
    <w:link w:val="31"/>
    <w:qFormat/>
    <w:uiPriority w:val="0"/>
    <w:rPr>
      <w:rFonts w:ascii="Times New Roman" w:hAnsi="Times New Roman" w:eastAsia="宋体" w:cs="Times New Roman"/>
    </w:rPr>
  </w:style>
  <w:style w:type="paragraph" w:customStyle="1" w:styleId="31">
    <w:name w:val="列出段落1"/>
    <w:basedOn w:val="1"/>
    <w:link w:val="30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character" w:customStyle="1" w:styleId="32">
    <w:name w:val="apple-converted-space"/>
    <w:qFormat/>
    <w:uiPriority w:val="0"/>
    <w:rPr>
      <w:rFonts w:hint="default" w:ascii="Times New Roman" w:hAnsi="Times New Roman" w:eastAsia="宋体" w:cs="Times New Roman"/>
    </w:rPr>
  </w:style>
  <w:style w:type="character" w:customStyle="1" w:styleId="33">
    <w:name w:val="段 Char"/>
    <w:link w:val="34"/>
    <w:qFormat/>
    <w:uiPriority w:val="0"/>
    <w:rPr>
      <w:rFonts w:ascii="宋体" w:hAnsi="宋体"/>
      <w:kern w:val="2"/>
      <w:sz w:val="21"/>
      <w:szCs w:val="22"/>
      <w:lang w:val="en-US" w:eastAsia="zh-CN" w:bidi="ar-SA"/>
    </w:rPr>
  </w:style>
  <w:style w:type="paragraph" w:customStyle="1" w:styleId="34">
    <w:name w:val="段"/>
    <w:link w:val="3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码1"/>
    <w:qFormat/>
    <w:uiPriority w:val="0"/>
    <w:rPr>
      <w:rFonts w:hint="default" w:ascii="Times New Roman" w:hAnsi="Times New Roman" w:eastAsia="宋体" w:cs="Times New Roman"/>
    </w:rPr>
  </w:style>
  <w:style w:type="character" w:customStyle="1" w:styleId="36">
    <w:name w:val="批注主题 Char"/>
    <w:link w:val="37"/>
    <w:qFormat/>
    <w:uiPriority w:val="0"/>
    <w:rPr>
      <w:rFonts w:ascii="Times New Roman" w:hAnsi="Times New Roman" w:eastAsia="宋体"/>
      <w:b/>
      <w:bCs/>
    </w:rPr>
  </w:style>
  <w:style w:type="paragraph" w:customStyle="1" w:styleId="37">
    <w:name w:val="批注主题1"/>
    <w:basedOn w:val="6"/>
    <w:next w:val="6"/>
    <w:link w:val="36"/>
    <w:qFormat/>
    <w:uiPriority w:val="0"/>
    <w:rPr>
      <w:b/>
      <w:bCs/>
    </w:rPr>
  </w:style>
  <w:style w:type="character" w:customStyle="1" w:styleId="38">
    <w:name w:val="批注引用1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39">
    <w:name w:val="占位符文本1"/>
    <w:qFormat/>
    <w:uiPriority w:val="0"/>
    <w:rPr>
      <w:rFonts w:hint="default" w:ascii="Times New Roman" w:hAnsi="Times New Roman" w:eastAsia="宋体" w:cs="Times New Roman"/>
      <w:color w:val="808080"/>
    </w:rPr>
  </w:style>
  <w:style w:type="character" w:customStyle="1" w:styleId="40">
    <w:name w:val="apple-style-span"/>
    <w:qFormat/>
    <w:uiPriority w:val="0"/>
    <w:rPr>
      <w:rFonts w:hint="default" w:ascii="Times New Roman" w:hAnsi="Times New Roman" w:eastAsia="宋体" w:cs="Times New Roman"/>
    </w:rPr>
  </w:style>
  <w:style w:type="paragraph" w:customStyle="1" w:styleId="41">
    <w:name w:val="附录五级条标题"/>
    <w:basedOn w:val="42"/>
    <w:next w:val="34"/>
    <w:qFormat/>
    <w:uiPriority w:val="0"/>
    <w:pPr>
      <w:tabs>
        <w:tab w:val="left" w:pos="360"/>
      </w:tabs>
      <w:outlineLvl w:val="6"/>
    </w:pPr>
  </w:style>
  <w:style w:type="paragraph" w:customStyle="1" w:styleId="42">
    <w:name w:val="附录四级条标题"/>
    <w:basedOn w:val="43"/>
    <w:next w:val="34"/>
    <w:qFormat/>
    <w:uiPriority w:val="0"/>
    <w:pPr>
      <w:tabs>
        <w:tab w:val="left" w:pos="360"/>
      </w:tabs>
      <w:outlineLvl w:val="5"/>
    </w:pPr>
  </w:style>
  <w:style w:type="paragraph" w:customStyle="1" w:styleId="43">
    <w:name w:val="附录三级条标题"/>
    <w:basedOn w:val="44"/>
    <w:next w:val="34"/>
    <w:qFormat/>
    <w:uiPriority w:val="0"/>
    <w:pPr>
      <w:numPr>
        <w:ilvl w:val="4"/>
        <w:numId w:val="1"/>
      </w:numPr>
      <w:tabs>
        <w:tab w:val="left" w:pos="360"/>
      </w:tabs>
      <w:outlineLvl w:val="4"/>
    </w:pPr>
  </w:style>
  <w:style w:type="paragraph" w:customStyle="1" w:styleId="44">
    <w:name w:val="附录二级条标题"/>
    <w:basedOn w:val="1"/>
    <w:next w:val="34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45">
    <w:name w:val="二级无标题条"/>
    <w:basedOn w:val="1"/>
    <w:qFormat/>
    <w:uiPriority w:val="0"/>
    <w:pPr>
      <w:numPr>
        <w:ilvl w:val="3"/>
        <w:numId w:val="2"/>
      </w:numPr>
    </w:pPr>
    <w:rPr>
      <w:rFonts w:ascii="Times New Roman" w:hAnsi="Times New Roman"/>
      <w:szCs w:val="24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一级无标题条"/>
    <w:basedOn w:val="1"/>
    <w:qFormat/>
    <w:uiPriority w:val="0"/>
    <w:pPr>
      <w:numPr>
        <w:ilvl w:val="2"/>
        <w:numId w:val="2"/>
      </w:numPr>
    </w:pPr>
    <w:rPr>
      <w:rFonts w:ascii="Times New Roman" w:hAnsi="Times New Roman"/>
      <w:szCs w:val="24"/>
    </w:rPr>
  </w:style>
  <w:style w:type="paragraph" w:customStyle="1" w:styleId="48">
    <w:name w:val="附录标识"/>
    <w:basedOn w:val="1"/>
    <w:next w:val="34"/>
    <w:qFormat/>
    <w:uiPriority w:val="0"/>
    <w:pPr>
      <w:keepNext/>
      <w:widowControl/>
      <w:numPr>
        <w:ilvl w:val="0"/>
        <w:numId w:val="1"/>
      </w:numPr>
      <w:shd w:val="clear" w:color="auto" w:fill="FFFFFF"/>
      <w:tabs>
        <w:tab w:val="left" w:pos="6405"/>
      </w:tabs>
      <w:spacing w:before="640" w:beforeLines="0" w:after="280" w:afterLines="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49">
    <w:name w:val="修订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终结线"/>
    <w:basedOn w:val="1"/>
    <w:qFormat/>
    <w:uiPriority w:val="0"/>
    <w:rPr>
      <w:rFonts w:ascii="Times New Roman" w:hAnsi="Times New Roman"/>
      <w:szCs w:val="24"/>
    </w:rPr>
  </w:style>
  <w:style w:type="paragraph" w:customStyle="1" w:styleId="51">
    <w:name w:val="三级无标题条"/>
    <w:basedOn w:val="1"/>
    <w:qFormat/>
    <w:uiPriority w:val="0"/>
    <w:pPr>
      <w:numPr>
        <w:ilvl w:val="4"/>
        <w:numId w:val="2"/>
      </w:numPr>
    </w:pPr>
    <w:rPr>
      <w:rFonts w:ascii="Times New Roman" w:hAnsi="Times New Roman"/>
      <w:szCs w:val="24"/>
    </w:rPr>
  </w:style>
  <w:style w:type="paragraph" w:customStyle="1" w:styleId="52">
    <w:name w:val="三级条标题"/>
    <w:basedOn w:val="53"/>
    <w:next w:val="34"/>
    <w:qFormat/>
    <w:uiPriority w:val="0"/>
    <w:pPr>
      <w:outlineLvl w:val="4"/>
    </w:pPr>
  </w:style>
  <w:style w:type="paragraph" w:customStyle="1" w:styleId="53">
    <w:name w:val="二级条标题"/>
    <w:basedOn w:val="54"/>
    <w:next w:val="34"/>
    <w:qFormat/>
    <w:uiPriority w:val="0"/>
    <w:pPr>
      <w:outlineLvl w:val="3"/>
    </w:pPr>
  </w:style>
  <w:style w:type="paragraph" w:customStyle="1" w:styleId="54">
    <w:name w:val="一级条标题"/>
    <w:basedOn w:val="55"/>
    <w:next w:val="34"/>
    <w:qFormat/>
    <w:uiPriority w:val="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55">
    <w:name w:val="章标题"/>
    <w:next w:val="34"/>
    <w:qFormat/>
    <w:uiPriority w:val="0"/>
    <w:pPr>
      <w:numPr>
        <w:ilvl w:val="1"/>
        <w:numId w:val="3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图表脚注"/>
    <w:next w:val="34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7">
    <w:name w:val="前言、引言标题"/>
    <w:next w:val="1"/>
    <w:qFormat/>
    <w:uiPriority w:val="0"/>
    <w:pPr>
      <w:numPr>
        <w:ilvl w:val="0"/>
        <w:numId w:val="3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8">
    <w:name w:val="附录公式编号制表符"/>
    <w:basedOn w:val="1"/>
    <w:next w:val="3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kern w:val="0"/>
      <w:szCs w:val="20"/>
    </w:rPr>
  </w:style>
  <w:style w:type="paragraph" w:customStyle="1" w:styleId="59">
    <w:name w:val="附录一级条标题"/>
    <w:basedOn w:val="60"/>
    <w:next w:val="34"/>
    <w:qFormat/>
    <w:uiPriority w:val="0"/>
    <w:pPr>
      <w:numPr>
        <w:ilvl w:val="2"/>
        <w:numId w:val="1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60">
    <w:name w:val="附录章标题"/>
    <w:next w:val="34"/>
    <w:qFormat/>
    <w:uiPriority w:val="0"/>
    <w:pPr>
      <w:numPr>
        <w:ilvl w:val="1"/>
        <w:numId w:val="1"/>
      </w:numPr>
      <w:wordWrap w:val="0"/>
      <w:overflowPunct w:val="0"/>
      <w:autoSpaceDE w:val="0"/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1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62">
    <w:name w:val="五级条标题"/>
    <w:basedOn w:val="63"/>
    <w:next w:val="34"/>
    <w:qFormat/>
    <w:uiPriority w:val="0"/>
    <w:pPr>
      <w:outlineLvl w:val="6"/>
    </w:pPr>
  </w:style>
  <w:style w:type="paragraph" w:customStyle="1" w:styleId="63">
    <w:name w:val="四级条标题"/>
    <w:basedOn w:val="52"/>
    <w:next w:val="34"/>
    <w:qFormat/>
    <w:uiPriority w:val="0"/>
    <w:pPr>
      <w:outlineLvl w:val="5"/>
    </w:pPr>
  </w:style>
  <w:style w:type="paragraph" w:customStyle="1" w:styleId="64">
    <w:name w:val="正文表标题"/>
    <w:next w:val="34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">
    <w:name w:val="五级无标题条"/>
    <w:basedOn w:val="1"/>
    <w:qFormat/>
    <w:uiPriority w:val="0"/>
    <w:pPr>
      <w:numPr>
        <w:ilvl w:val="6"/>
        <w:numId w:val="2"/>
      </w:numPr>
    </w:pPr>
    <w:rPr>
      <w:rFonts w:ascii="Times New Roman" w:hAnsi="Times New Roman"/>
      <w:szCs w:val="24"/>
    </w:rPr>
  </w:style>
  <w:style w:type="paragraph" w:customStyle="1" w:styleId="66">
    <w:name w:val="四级无标题条"/>
    <w:basedOn w:val="1"/>
    <w:qFormat/>
    <w:uiPriority w:val="0"/>
    <w:pPr>
      <w:numPr>
        <w:ilvl w:val="5"/>
        <w:numId w:val="2"/>
      </w:numPr>
    </w:pPr>
    <w:rPr>
      <w:rFonts w:ascii="Times New Roman" w:hAnsi="Times New Roman"/>
      <w:szCs w:val="24"/>
    </w:rPr>
  </w:style>
  <w:style w:type="paragraph" w:customStyle="1" w:styleId="67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68">
    <w:name w:val="文档结构图1"/>
    <w:basedOn w:val="1"/>
    <w:qFormat/>
    <w:uiPriority w:val="0"/>
    <w:pPr>
      <w:shd w:val="clear" w:color="auto" w:fill="000080"/>
    </w:pPr>
    <w:rPr>
      <w:rFonts w:ascii="Times New Roman" w:hAnsi="Times New Roman"/>
    </w:rPr>
  </w:style>
  <w:style w:type="paragraph" w:customStyle="1" w:styleId="69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注：（正文）"/>
    <w:basedOn w:val="1"/>
    <w:next w:val="1"/>
    <w:qFormat/>
    <w:uiPriority w:val="0"/>
    <w:pPr>
      <w:autoSpaceDE w:val="0"/>
      <w:autoSpaceDN w:val="0"/>
    </w:pPr>
    <w:rPr>
      <w:rFonts w:ascii="宋体" w:hAnsi="Times New Roman"/>
      <w:kern w:val="0"/>
      <w:sz w:val="18"/>
      <w:szCs w:val="18"/>
    </w:rPr>
  </w:style>
  <w:style w:type="paragraph" w:customStyle="1" w:styleId="71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Paragraph"/>
    <w:basedOn w:val="1"/>
    <w:qFormat/>
    <w:uiPriority w:val="0"/>
    <w:pPr>
      <w:ind w:firstLine="420"/>
    </w:pPr>
  </w:style>
  <w:style w:type="paragraph" w:customStyle="1" w:styleId="73">
    <w:name w:val="_Style 33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11</Pages>
  <Words>579</Words>
  <Characters>3304</Characters>
  <Lines>27</Lines>
  <Paragraphs>7</Paragraphs>
  <TotalTime>72</TotalTime>
  <ScaleCrop>false</ScaleCrop>
  <LinksUpToDate>false</LinksUpToDate>
  <CharactersWithSpaces>3876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2019-11-22T02:11:00Z</dcterms:created>
  <dc:creator>白岩</dc:creator>
  <cp:lastModifiedBy>朱雅洁</cp:lastModifiedBy>
  <cp:lastPrinted>2022-06-12T10:19:00Z</cp:lastPrinted>
  <dcterms:modified xsi:type="dcterms:W3CDTF">2022-07-26T17:51:24Z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