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Times New Roman"/>
          <w:sz w:val="40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Times New Roman"/>
          <w:sz w:val="40"/>
          <w:szCs w:val="36"/>
        </w:rPr>
        <w:t>202</w:t>
      </w:r>
      <w:r>
        <w:rPr>
          <w:rFonts w:hint="eastAsia" w:ascii="方正小标宋_GBK" w:hAnsi="方正小标宋_GBK" w:eastAsia="方正小标宋_GBK" w:cs="Times New Roman"/>
          <w:sz w:val="40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Times New Roman"/>
          <w:sz w:val="40"/>
          <w:szCs w:val="36"/>
        </w:rPr>
        <w:t>年能源监管工作要点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8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202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年能源监管工作的总体思路是：以习近平新时代中国特色社会主义思想为指导，深入贯彻党的十九大和十九届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历次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全会精神，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坚持稳中求进工作总基调，完整、准确、全面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贯彻新发展理念，贯彻落实党中央、国务院决策部署以及中央经济工作会议、全国能源工作会议精神，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坚定不移贯彻落实能源安全新战略，以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推动能源治理体系和治理能力现代化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为目标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，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以</w:t>
      </w:r>
      <w:r>
        <w:rPr>
          <w:rFonts w:hint="default" w:ascii="Times New Roman" w:hAnsi="Times New Roman" w:eastAsia="方正仿宋_GBK" w:cs="Times New Roman"/>
          <w:b/>
          <w:bCs/>
          <w:spacing w:val="6"/>
          <w:sz w:val="30"/>
          <w:szCs w:val="30"/>
          <w:lang w:eastAsia="zh-CN"/>
        </w:rPr>
        <w:t>提升</w:t>
      </w:r>
      <w:r>
        <w:rPr>
          <w:rFonts w:hint="eastAsia" w:ascii="Times New Roman" w:hAnsi="Times New Roman" w:eastAsia="方正仿宋_GBK" w:cs="Times New Roman"/>
          <w:b/>
          <w:bCs/>
          <w:spacing w:val="6"/>
          <w:sz w:val="30"/>
          <w:szCs w:val="30"/>
          <w:lang w:eastAsia="zh-CN"/>
        </w:rPr>
        <w:t>监</w:t>
      </w:r>
      <w:r>
        <w:rPr>
          <w:rFonts w:hint="default" w:ascii="Times New Roman" w:hAnsi="Times New Roman" w:eastAsia="方正仿宋_GBK" w:cs="Times New Roman"/>
          <w:b/>
          <w:bCs/>
          <w:spacing w:val="6"/>
          <w:sz w:val="30"/>
          <w:szCs w:val="30"/>
          <w:lang w:eastAsia="zh-CN"/>
        </w:rPr>
        <w:t>管效能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为主线，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以</w:t>
      </w:r>
      <w:r>
        <w:rPr>
          <w:rFonts w:hint="eastAsia" w:ascii="Times New Roman" w:hAnsi="Times New Roman" w:eastAsia="方正仿宋_GBK" w:cs="Times New Roman"/>
          <w:b/>
          <w:bCs/>
          <w:spacing w:val="6"/>
          <w:sz w:val="30"/>
          <w:szCs w:val="30"/>
          <w:lang w:eastAsia="zh-CN"/>
        </w:rPr>
        <w:t>加强监管队伍建设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为支撑，深化能源体制改革和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市场机制建设，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督促能源重大战略、规划、政策落地实施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维护公平竞争的市场秩序和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人民群众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合法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权益，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保障能源安全稳定供应，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在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推动能源革命、建设能源强国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中展现新作为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，以优异的成绩迎接党的二十大胜利召开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。重点抓好以下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六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个方面工作：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8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方正黑体_GBK" w:hAnsi="方正黑体_GBK" w:eastAsia="方正黑体_GBK" w:cs="黑体"/>
          <w:spacing w:val="6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黑体"/>
          <w:spacing w:val="6"/>
          <w:sz w:val="30"/>
          <w:szCs w:val="30"/>
          <w:lang w:eastAsia="zh-CN"/>
        </w:rPr>
        <w:t>一、坚持围绕中心，不断提升服务党和国家工作大局的能力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8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</w:rPr>
        <w:t>（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  <w:lang w:eastAsia="zh-CN"/>
        </w:rPr>
        <w:t>一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</w:rPr>
        <w:t>）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  <w:lang w:eastAsia="zh-CN"/>
        </w:rPr>
        <w:t>加强党中央国务院重大决策部署落实情况监管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</w:rPr>
        <w:t>。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始终将保障能源安全作为能源监管的首要任务抓实抓细，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督促地方政府和能源企业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认真落实党中央国务院关于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能源保供的各项政策措施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注重发挥市场机制和市场监管作用，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优先保障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民生用能、绿色产业链用能等不受影响。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服务能源绿色低碳转型发展，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立足能源监管职责，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科学监管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能源领域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碳达峰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、碳中和”政策措施的落地实施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深入贯彻落实能源领域“放管服”改革部署和要求，统筹推进市场监管、行业监管和电力安全监管，加强反垄断和反不正当竞争，以公正监管保障公平竞争，提高资源配置效率和公平性。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8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sz w:val="30"/>
          <w:szCs w:val="30"/>
        </w:rPr>
      </w:pPr>
      <w:r>
        <w:rPr>
          <w:rFonts w:hint="default" w:ascii="方正楷体_GBK" w:hAnsi="方正楷体_GBK" w:eastAsia="方正楷体_GBK" w:cs="方正楷体_GBK"/>
          <w:spacing w:val="6"/>
          <w:sz w:val="30"/>
          <w:szCs w:val="30"/>
        </w:rPr>
        <w:t>（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  <w:lang w:eastAsia="zh-CN"/>
        </w:rPr>
        <w:t>二</w:t>
      </w:r>
      <w:r>
        <w:rPr>
          <w:rFonts w:hint="default" w:ascii="方正楷体_GBK" w:hAnsi="方正楷体_GBK" w:eastAsia="方正楷体_GBK" w:cs="方正楷体_GBK"/>
          <w:spacing w:val="6"/>
          <w:sz w:val="30"/>
          <w:szCs w:val="30"/>
        </w:rPr>
        <w:t>）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  <w:lang w:eastAsia="zh-CN"/>
        </w:rPr>
        <w:t>加强</w:t>
      </w:r>
      <w:r>
        <w:rPr>
          <w:rFonts w:hint="default" w:ascii="方正楷体_GBK" w:hAnsi="方正楷体_GBK" w:eastAsia="方正楷体_GBK" w:cs="方正楷体_GBK"/>
          <w:spacing w:val="6"/>
          <w:sz w:val="30"/>
          <w:szCs w:val="30"/>
        </w:rPr>
        <w:t>能源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  <w:lang w:eastAsia="zh-CN"/>
        </w:rPr>
        <w:t>规划、</w:t>
      </w:r>
      <w:r>
        <w:rPr>
          <w:rFonts w:hint="default" w:ascii="方正楷体_GBK" w:hAnsi="方正楷体_GBK" w:eastAsia="方正楷体_GBK" w:cs="方正楷体_GBK"/>
          <w:spacing w:val="6"/>
          <w:sz w:val="30"/>
          <w:szCs w:val="30"/>
        </w:rPr>
        <w:t>政策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  <w:lang w:eastAsia="zh-CN"/>
        </w:rPr>
        <w:t>、重大项目实施情况</w:t>
      </w:r>
      <w:r>
        <w:rPr>
          <w:rFonts w:hint="default" w:ascii="方正楷体_GBK" w:hAnsi="方正楷体_GBK" w:eastAsia="方正楷体_GBK" w:cs="方正楷体_GBK"/>
          <w:spacing w:val="6"/>
          <w:sz w:val="30"/>
          <w:szCs w:val="30"/>
        </w:rPr>
        <w:t>监管。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健全“十四五”能源规划实施机制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，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确保地方规划与国家规划有效衔接。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依据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“十四五”能源规划，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跟踪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关注重要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输电通道、油气管道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及互联互通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、大型煤矿、水电站、核电站、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天然气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储气设施等工程项目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推进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情况，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及时发现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项目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推进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中的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突出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问题。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加强对煤电气电规划建设、北方地区冬季清洁取暖、整县屋顶分布式光伏开发试点、可再生能源消纳责任权重、煤层气开发利用等重点领域监管，确保政策执行不跑偏、不走样。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8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</w:rPr>
        <w:t>（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  <w:lang w:eastAsia="zh-CN"/>
        </w:rPr>
        <w:t>三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</w:rPr>
        <w:t>）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  <w:lang w:eastAsia="zh-CN"/>
        </w:rPr>
        <w:t>加强</w:t>
      </w:r>
      <w:r>
        <w:rPr>
          <w:rFonts w:hint="default" w:ascii="方正楷体_GBK" w:hAnsi="方正楷体_GBK" w:eastAsia="方正楷体_GBK" w:cs="方正楷体_GBK"/>
          <w:spacing w:val="6"/>
          <w:sz w:val="30"/>
          <w:szCs w:val="30"/>
          <w:lang w:eastAsia="zh-CN"/>
        </w:rPr>
        <w:t>能源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  <w:lang w:eastAsia="zh-CN"/>
        </w:rPr>
        <w:t>市场</w:t>
      </w:r>
      <w:r>
        <w:rPr>
          <w:rFonts w:hint="default" w:ascii="方正楷体_GBK" w:hAnsi="方正楷体_GBK" w:eastAsia="方正楷体_GBK" w:cs="方正楷体_GBK"/>
          <w:spacing w:val="6"/>
          <w:sz w:val="30"/>
          <w:szCs w:val="30"/>
          <w:lang w:eastAsia="zh-CN"/>
        </w:rPr>
        <w:t>运行监测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  <w:lang w:eastAsia="zh-CN"/>
        </w:rPr>
        <w:t>分析与监管</w:t>
      </w:r>
      <w:r>
        <w:rPr>
          <w:rFonts w:hint="default" w:ascii="方正楷体_GBK" w:hAnsi="方正楷体_GBK" w:eastAsia="方正楷体_GBK" w:cs="方正楷体_GBK"/>
          <w:spacing w:val="6"/>
          <w:sz w:val="30"/>
          <w:szCs w:val="30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坚持底线思维，增强风险意识，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严格执行重要监管事项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报告制度，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充分发挥派出机构“派”的权威和“驻”的优势，了解掌握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电煤、电力、天然气等能源市场动态变化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及时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发现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能源发展中存在的苗头性、倾向性、潜在性问题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。各派出机构要加强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与地方政府相关部门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会商研判，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督促能源企业落实防范化解市场供应风险主体责任，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并在职责范围内采取切实可行的措施，做到尽早发现、及时报告、妥善处置，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保障能源市场运行平稳有序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8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方正黑体_GBK" w:hAnsi="方正黑体_GBK" w:eastAsia="方正黑体_GBK" w:cs="黑体"/>
          <w:spacing w:val="6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黑体"/>
          <w:spacing w:val="6"/>
          <w:sz w:val="30"/>
          <w:szCs w:val="30"/>
          <w:lang w:eastAsia="zh-CN"/>
        </w:rPr>
        <w:t>二</w:t>
      </w:r>
      <w:r>
        <w:rPr>
          <w:rFonts w:hint="default" w:ascii="方正黑体_GBK" w:hAnsi="方正黑体_GBK" w:eastAsia="方正黑体_GBK" w:cs="黑体"/>
          <w:spacing w:val="6"/>
          <w:sz w:val="30"/>
          <w:szCs w:val="30"/>
          <w:lang w:eastAsia="zh-CN"/>
        </w:rPr>
        <w:t>、</w:t>
      </w:r>
      <w:r>
        <w:rPr>
          <w:rFonts w:hint="eastAsia" w:ascii="方正黑体_GBK" w:hAnsi="方正黑体_GBK" w:eastAsia="方正黑体_GBK" w:cs="黑体"/>
          <w:spacing w:val="6"/>
          <w:sz w:val="30"/>
          <w:szCs w:val="30"/>
          <w:lang w:eastAsia="zh-CN"/>
        </w:rPr>
        <w:t>坚持改革创新</w:t>
      </w:r>
      <w:r>
        <w:rPr>
          <w:rFonts w:hint="default" w:ascii="方正黑体_GBK" w:hAnsi="方正黑体_GBK" w:eastAsia="方正黑体_GBK" w:cs="黑体"/>
          <w:spacing w:val="6"/>
          <w:sz w:val="30"/>
          <w:szCs w:val="30"/>
          <w:lang w:eastAsia="zh-CN"/>
        </w:rPr>
        <w:t>，</w:t>
      </w:r>
      <w:r>
        <w:rPr>
          <w:rFonts w:hint="eastAsia" w:ascii="方正黑体_GBK" w:hAnsi="方正黑体_GBK" w:eastAsia="方正黑体_GBK" w:cs="黑体"/>
          <w:spacing w:val="6"/>
          <w:sz w:val="30"/>
          <w:szCs w:val="30"/>
          <w:lang w:eastAsia="zh-CN"/>
        </w:rPr>
        <w:t>不断提升推进能源市场化建设的水平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8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  <w:lang w:eastAsia="zh-CN"/>
        </w:rPr>
        <w:t>（四）深入推进多层次统一电力市场体系建设。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遵循电力市场运行规律和市场经济规律，严格落实《电力中长期交易基本规则》《电力并网运行管理规定》《电力辅助服务管理办法》相关要求，稳步推进国家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省（区、市）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val="en-US" w:eastAsia="zh-CN"/>
        </w:rPr>
        <w:t>电力市场建设，推动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南方区域电力市场启动试运行，研究制定长三角、京津冀等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val="en-US" w:eastAsia="zh-CN"/>
        </w:rPr>
        <w:t>区域电力市场建设方案，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引导各层次电力市场协同运行、融合发展。推动完善煤电价格市场化形成机制，扩大市场交易电价上下浮动范围。在具备条件的地区，积极支持新能源参与市场交易，以市场化机制促进新能源消纳。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8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  <w:lang w:eastAsia="zh-CN"/>
        </w:rPr>
        <w:t>（五）深化电力市场机制建设。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完善电力中长期市场、现货市场和辅助服务市场衔接机制，扩大市场化交易规模。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加快修订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各地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电力中长期交易实施细则，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规范交易组织，丰富交易品种，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推动工商业用户全部进入市场。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鼓励市场主体签订多年中长期交易合同，科学引导电力规划和有效投资。稳妥推进电力现货市场试点建设，推动用电侧有效参与现货市场。进一步完善辅助服务市场机制，抓紧修订“两个细则”，规范和丰富调频、备用、爬坡、转动惯量等辅助服务交易品种。建立用户参与的辅助服务分担共享机制，全面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推动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高载能工业负荷、工商业可调节负荷、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新型储能、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电动汽车充电网络、虚拟电厂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等参与提供辅助服务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。推进区域辅助服务市场建设，启动南方区域备用市场、川渝一体化调峰市场试运行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8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  <w:lang w:eastAsia="zh-CN"/>
        </w:rPr>
        <w:t>（六）积极推进天然气市场体系建设。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稳步推进地方天然气管网运营机制改革，加快实现管网运销分离，引导和推进省级管网公司以市场化方式融入国家管网公司。完善天然气管网设施公平开放制度，制定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</w:rPr>
        <w:t>天然气管网设施托运商准入规则和天然气管网设施容量分配规则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，丰富容量服务产品，规范交易方式，促进形成上游资源多主体多渠道供应、下游销售市场充分竞争的市场体系。积极推动储气库库容市场化交易，不断完善储气调峰辅助服务市场机制。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8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方正黑体_GBK" w:hAnsi="方正黑体_GBK" w:eastAsia="方正黑体_GBK" w:cs="黑体"/>
          <w:spacing w:val="6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黑体"/>
          <w:spacing w:val="6"/>
          <w:sz w:val="30"/>
          <w:szCs w:val="30"/>
          <w:lang w:eastAsia="zh-CN"/>
        </w:rPr>
        <w:t>三</w:t>
      </w:r>
      <w:r>
        <w:rPr>
          <w:rFonts w:hint="default" w:ascii="方正黑体_GBK" w:hAnsi="方正黑体_GBK" w:eastAsia="方正黑体_GBK" w:cs="黑体"/>
          <w:spacing w:val="6"/>
          <w:sz w:val="30"/>
          <w:szCs w:val="30"/>
          <w:lang w:eastAsia="zh-CN"/>
        </w:rPr>
        <w:t>、</w:t>
      </w:r>
      <w:r>
        <w:rPr>
          <w:rFonts w:hint="eastAsia" w:ascii="方正黑体_GBK" w:hAnsi="方正黑体_GBK" w:eastAsia="方正黑体_GBK" w:cs="黑体"/>
          <w:spacing w:val="6"/>
          <w:sz w:val="30"/>
          <w:szCs w:val="30"/>
          <w:lang w:eastAsia="zh-CN"/>
        </w:rPr>
        <w:t>坚持依法依规，不断提升能源监管的公正性和权威性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8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  <w:lang w:eastAsia="zh-CN"/>
        </w:rPr>
        <w:t>（七）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</w:rPr>
        <w:t>强化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  <w:lang w:eastAsia="zh-CN"/>
        </w:rPr>
        <w:t>电力市场秩序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</w:rPr>
        <w:t>监管。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强化电力调度交易与市场秩序监管，规范市场成员自律行为，指导市场运营机构建立完善电力市场运营监控和风险防控机制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加强市场运营机构、市场主体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信息披露行为监管，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促进信息公开透明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。落实《电网公平开放监管办法》，加强电源接入电网、电网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之间互联等行为的监管，规范工作流程与时限要求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加强电力市场交易及电价政策执行情况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监管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，及时纠正以降价为目的的专场交易、设置不合理准入门槛、不当干预市场、限制市场竞争等行为。规范电网企业代理购电行为，不断缩小代理购电范围。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8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</w:rPr>
        <w:t>（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  <w:lang w:eastAsia="zh-CN"/>
        </w:rPr>
        <w:t>八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</w:rPr>
        <w:t>）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  <w:lang w:eastAsia="zh-CN"/>
        </w:rPr>
        <w:t>强化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</w:rPr>
        <w:t>油气管网设施公平开放监管。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加强对管网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设施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运营企业的监管，督促管网设施运营企业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严格按要求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做好公平开放服务的申请与受理等工作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，及时公开受理标准和受理结果，不断提升服务质量和水平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。推动管输服务合同标准化，加强LNG接收站合同签订和保供履约情况监管，督促企业履行社会责任。继续做好管网设施信息公开和信息报送工作，优化企业网上信息公开和信息报送内容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，提高信息报送的及时性、准确性和完整性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8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</w:rPr>
        <w:t>（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  <w:lang w:eastAsia="zh-CN"/>
        </w:rPr>
        <w:t>九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</w:rPr>
        <w:t>）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  <w:lang w:eastAsia="zh-CN"/>
        </w:rPr>
        <w:t>强化能源行政执法工作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</w:rPr>
        <w:t>。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坚持依法监管，严格落实《行政处罚法》，全面推行行政执法公示制度、执法全过程记录制度、重大执法决定法制审核制度。进一步细化执法工作程序，规范行政处罚、行政强制、行政检查以及执法信息统计等行为，提高监管的公正性和透明度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加大能源行政执法力度，严肃查处用户受电工程“三指定”、向虚拟货币“挖矿”项目违法供电等行为，对直接关系人民群众用电权益、公共用电安全等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社会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反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响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较大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的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领域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持续开展专项整治，保持高压态势。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8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方正黑体_GBK" w:hAnsi="方正黑体_GBK" w:eastAsia="方正黑体_GBK" w:cs="黑体"/>
          <w:spacing w:val="6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黑体"/>
          <w:spacing w:val="6"/>
          <w:sz w:val="30"/>
          <w:szCs w:val="30"/>
          <w:lang w:eastAsia="zh-CN"/>
        </w:rPr>
        <w:t>四</w:t>
      </w:r>
      <w:r>
        <w:rPr>
          <w:rFonts w:hint="default" w:ascii="方正黑体_GBK" w:hAnsi="方正黑体_GBK" w:eastAsia="方正黑体_GBK" w:cs="黑体"/>
          <w:spacing w:val="6"/>
          <w:sz w:val="30"/>
          <w:szCs w:val="30"/>
          <w:lang w:eastAsia="zh-CN"/>
        </w:rPr>
        <w:t>、</w:t>
      </w:r>
      <w:r>
        <w:rPr>
          <w:rFonts w:hint="eastAsia" w:ascii="方正黑体_GBK" w:hAnsi="方正黑体_GBK" w:eastAsia="方正黑体_GBK" w:cs="黑体"/>
          <w:spacing w:val="6"/>
          <w:sz w:val="30"/>
          <w:szCs w:val="30"/>
          <w:lang w:eastAsia="zh-CN"/>
        </w:rPr>
        <w:t>坚持监管为民，不断提升人民群众用能的获得感和满意度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8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</w:rPr>
        <w:t>（十）持续优化用电营商环境。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严格落实《关于全面提升“获得电力”服务水平 持续优化用电营商环境的意见》，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对照工作任务台账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进一步压实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各方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责任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，确保相关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目标任务按期完成。加强典型经验宣传报道和推广，定期通报各地政企协同办电平台建设、提升高压办电服务水平、“三到位”等工作进展情况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。适时组织召开全国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提升“获得电力”服务水平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工作推进会，着力推动解决工作中的短板和薄弱环节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，把“获得电力”打造成国内营商环境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优质服务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8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</w:rPr>
        <w:t>（十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  <w:lang w:eastAsia="zh-CN"/>
        </w:rPr>
        <w:t>一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</w:rPr>
        <w:t>）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  <w:lang w:eastAsia="zh-CN"/>
        </w:rPr>
        <w:t>持续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</w:rPr>
        <w:t>做好投诉举报处理工作。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加强12398能源监管热线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运行管理，畅通投诉举报渠道。加大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12398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能源监管热线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电话、微信公众号、APP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标识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宣传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普及工作力度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在市场运营机构营业场所和网站显著位置添加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val="en-US" w:eastAsia="zh-CN"/>
        </w:rPr>
        <w:t>12398热线标识，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做好相关问题线索和信息的收集、分析汇总工作。研究建立国家能源局跨业务部门投诉举报处理机制，针对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val="en-US" w:eastAsia="zh-CN"/>
        </w:rPr>
        <w:t>12398热线反映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的涉及不同业务领域的投诉举报、政策咨询等事项，按照各司其职、各负其责、相互配合、齐抓共管的原则，建立会商制度，提高办理满意率。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定期发布投诉举报处理情况通报，发挥社会舆论监督作用。积极开展争议纠纷调解和裁决工作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，降低市场主体的维权成本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8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</w:rPr>
        <w:t>（十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</w:rPr>
        <w:t>）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  <w:lang w:eastAsia="zh-CN"/>
        </w:rPr>
        <w:t>持续提升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</w:rPr>
        <w:t>电力行政许可服务水平。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持续推进电力业务资质许可告知承诺制，完善证后核查工作机制，严肃处理不实和虚假承诺企业。认真做好电力业务许可准入与退出工作，有序开展持证超设计寿命水电机组摸底排查，做好淘汰落后产能煤电机组许可证注销工作。进一步完善电力许可管理制度，推动许可工作标准化、规范化。完善升级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资质和信用信息系统功能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，做好许可动态追踪、全程追溯。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8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方正黑体_GBK" w:hAnsi="方正黑体_GBK" w:eastAsia="方正黑体_GBK" w:cs="黑体"/>
          <w:spacing w:val="6"/>
          <w:sz w:val="30"/>
          <w:szCs w:val="30"/>
          <w:lang w:eastAsia="zh-CN"/>
        </w:rPr>
      </w:pPr>
      <w:r>
        <w:rPr>
          <w:rFonts w:hint="default" w:ascii="方正黑体_GBK" w:hAnsi="方正黑体_GBK" w:eastAsia="方正黑体_GBK" w:cs="黑体"/>
          <w:spacing w:val="6"/>
          <w:sz w:val="30"/>
          <w:szCs w:val="30"/>
          <w:lang w:eastAsia="zh-CN"/>
        </w:rPr>
        <w:t>五、</w:t>
      </w:r>
      <w:r>
        <w:rPr>
          <w:rFonts w:hint="eastAsia" w:ascii="方正黑体_GBK" w:hAnsi="方正黑体_GBK" w:eastAsia="方正黑体_GBK" w:cs="黑体"/>
          <w:spacing w:val="6"/>
          <w:sz w:val="30"/>
          <w:szCs w:val="30"/>
          <w:lang w:eastAsia="zh-CN"/>
        </w:rPr>
        <w:t>坚持协同高效，不断</w:t>
      </w:r>
      <w:r>
        <w:rPr>
          <w:rFonts w:hint="default" w:ascii="方正黑体_GBK" w:hAnsi="方正黑体_GBK" w:eastAsia="方正黑体_GBK" w:cs="黑体"/>
          <w:spacing w:val="6"/>
          <w:sz w:val="30"/>
          <w:szCs w:val="30"/>
          <w:lang w:eastAsia="zh-CN"/>
        </w:rPr>
        <w:t>提升</w:t>
      </w:r>
      <w:r>
        <w:rPr>
          <w:rFonts w:hint="eastAsia" w:ascii="方正黑体_GBK" w:hAnsi="方正黑体_GBK" w:eastAsia="方正黑体_GBK" w:cs="黑体"/>
          <w:spacing w:val="6"/>
          <w:sz w:val="30"/>
          <w:szCs w:val="30"/>
          <w:lang w:eastAsia="zh-CN"/>
        </w:rPr>
        <w:t>能源</w:t>
      </w:r>
      <w:r>
        <w:rPr>
          <w:rFonts w:hint="default" w:ascii="方正黑体_GBK" w:hAnsi="方正黑体_GBK" w:eastAsia="方正黑体_GBK" w:cs="黑体"/>
          <w:spacing w:val="6"/>
          <w:sz w:val="30"/>
          <w:szCs w:val="30"/>
          <w:lang w:eastAsia="zh-CN"/>
        </w:rPr>
        <w:t>监管</w:t>
      </w:r>
      <w:r>
        <w:rPr>
          <w:rFonts w:hint="eastAsia" w:ascii="方正黑体_GBK" w:hAnsi="方正黑体_GBK" w:eastAsia="方正黑体_GBK" w:cs="黑体"/>
          <w:spacing w:val="6"/>
          <w:sz w:val="30"/>
          <w:szCs w:val="30"/>
          <w:lang w:eastAsia="zh-CN"/>
        </w:rPr>
        <w:t>的精准性和有效性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78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  <w:lang w:eastAsia="zh-CN"/>
        </w:rPr>
        <w:t>（十三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</w:rPr>
        <w:t>）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  <w:lang w:eastAsia="zh-CN"/>
        </w:rPr>
        <w:t>加强监管统筹协调。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按照“谁审批、谁监管，谁主管、谁监管”的原则，进一步健全能源监管工作机制，推进行业管理与监管深度融合，建立局机关各司、有关事业单位与派出机构上下贯通的协同监管机制，提升能源治理水平。加强对派出机构的指导，局机关相关司、有关事业单位应主动运用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监管工作例会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、通气会等方式，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讲解政策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措施、提出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监管要求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，形成横向协同、纵向联动的工作体系。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加强监管任务的统筹部署，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围绕局党组中心工作，研究制定年度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能源监管重点任务清单，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统筹平衡各单位重点监管工作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进一步发挥区域监管局在辖区内的业务牵头作用，组织开展定期工作会商、联合执法、交叉检查等，形成区域监管合力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78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6"/>
          <w:kern w:val="0"/>
          <w:sz w:val="30"/>
          <w:szCs w:val="30"/>
          <w:lang w:val="en-US" w:eastAsia="zh-CN" w:bidi="ar"/>
        </w:rPr>
        <w:t>（十四）创新监管方式方法。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6"/>
          <w:kern w:val="0"/>
          <w:sz w:val="30"/>
          <w:szCs w:val="30"/>
          <w:lang w:val="en-US" w:eastAsia="zh-CN" w:bidi="ar"/>
        </w:rPr>
        <w:t>完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val="en-US" w:eastAsia="zh-CN"/>
        </w:rPr>
        <w:t>善现场监管组长负责制，明确组长基本条件、工作职责和相关要求，提升监督检查工作质量。研究建立能源监管业务骨干库，从中抽调人员开展专项监管等工作，并在监管任务完成后对其工作表现进行评定。针对重点行业探索驻点综合监管，2022年率先在电力行业开展驻点综合监管试点，实现全方位全链条立体化监管。积极推动监管信息系统建设，开发利用“互联网+”等技术手段实施非现场监管，探索疫情防控常态化下的新型监管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8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  <w:lang w:eastAsia="zh-CN"/>
        </w:rPr>
        <w:t>（十五）强化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</w:rPr>
        <w:t>监管成果运用。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各派出机构要提高监管发现问题的质量，并有针对性地提出监管意见建议。对职责范围内的事项，要依法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采取责令改正、行政处罚、监管约谈等方式进行处理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。要建立问题清单台账，明确整改责任、整改措施和时限要求，适时开展“回头看”，确保问题整改取得实效。局机关相关司、有关事业单位要认真研究分析监管发现的问题，明确问题处理原则和标准，并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将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监管意见建议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作为拟订行业规划、政策和项目审批的重要参考或依据。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进一步提升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监管报告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（通报）的影响力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，重点披露监管工作中发现的问题和典型案例，发挥社会舆论监督作用。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8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</w:pPr>
      <w:r>
        <w:rPr>
          <w:rFonts w:hint="default" w:ascii="方正楷体_GBK" w:hAnsi="方正楷体_GBK" w:eastAsia="方正楷体_GBK" w:cs="方正楷体_GBK"/>
          <w:spacing w:val="6"/>
          <w:sz w:val="30"/>
          <w:szCs w:val="30"/>
          <w:lang w:eastAsia="zh-CN"/>
        </w:rPr>
        <w:t>（十六）积极应用信用手段。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研究建立以信用为基础的新型能源监管机制，进一步推进“双随机、一公开”和信用分级分类监管深度融合，在电力资质许可等领域开展信用监管试点。深化信用信息归集共享应用，完善信用报告定期发布机制，通报行业信用状况，预警信用风险，实施守信激励和失信惩戒。鼓励和支持能源行业市场主体、行业协会等开展信用承诺、信用评价、信用修复等活动，积极推动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行业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共建和协同监管，营造诚实守信营商环境。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8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方正黑体_GBK" w:hAnsi="方正黑体_GBK" w:eastAsia="方正黑体_GBK" w:cs="黑体"/>
          <w:spacing w:val="6"/>
          <w:sz w:val="30"/>
          <w:szCs w:val="30"/>
        </w:rPr>
      </w:pPr>
      <w:r>
        <w:rPr>
          <w:rFonts w:hint="eastAsia" w:ascii="方正黑体_GBK" w:hAnsi="方正黑体_GBK" w:eastAsia="方正黑体_GBK" w:cs="黑体"/>
          <w:spacing w:val="6"/>
          <w:sz w:val="30"/>
          <w:szCs w:val="30"/>
          <w:lang w:eastAsia="zh-CN"/>
        </w:rPr>
        <w:t>六、坚持党建引领，不断提升做好能源监管工作的本领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8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</w:rPr>
        <w:t>（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  <w:lang w:eastAsia="zh-CN"/>
        </w:rPr>
        <w:t>十七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</w:rPr>
        <w:t>）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  <w:lang w:eastAsia="zh-CN"/>
        </w:rPr>
        <w:t>进一步发挥党建引领作用。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深入学习贯彻习近平新时代中国特色社会主义思想，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巩固深化党史学习教育成果，建立党史学习教育常态化、长效化机制，不断提高党员干部的政治判断力、政治领悟力、政治执行力。深入推进基层党组织规范化标准化建设，压紧压实党建工作责任，深化党建业务融合，充分发挥基层党组织战斗堡垒作用和党员先锋模范作用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深入贯彻全面从严治党要求，严格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落实领导干部“一岗双责”和党风廉政建设“两个责任”，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坚决纠治“四风”，营造风清气正的良好政治生态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8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</w:rPr>
        <w:t>（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  <w:lang w:eastAsia="zh-CN"/>
        </w:rPr>
        <w:t>十八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</w:rPr>
        <w:t>）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  <w:lang w:eastAsia="zh-CN"/>
        </w:rPr>
        <w:t>进一步改进工作作风。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严格按照权责清单履行法定职责，不缺位、不越位，慎重决策，依法用权。加强调查研究，深入基层、深入一线，实事求是、原汁原味反映监管发现的问题，坚决防止简单化、乱作为，坚决反对不担当、不作为。规范各类督查检查和现场监管活动，合理确定监管范围，统筹好时间安排，避免重复检查、扎堆检查，切实减轻企业和基层负担。严守政治纪律和工作纪律，增强保密意识，未经批准不得对外公布或透露涉及重大监管事项的敏感信息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8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  <w:lang w:eastAsia="zh-CN"/>
        </w:rPr>
        <w:t>（十九）进一步加强能源监管队伍建设</w:t>
      </w:r>
      <w:r>
        <w:rPr>
          <w:rFonts w:hint="eastAsia" w:ascii="方正楷体_GBK" w:hAnsi="方正楷体_GBK" w:eastAsia="方正楷体_GBK" w:cs="方正楷体_GBK"/>
          <w:spacing w:val="6"/>
          <w:sz w:val="30"/>
          <w:szCs w:val="30"/>
        </w:rPr>
        <w:t>。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制定出台加强监管能力建设的实施意见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打造高素质专业化监管人才队伍。注重思想淬炼、政治历练、实践锻炼和专业训练，不断增强做好能源监管工作的本领。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加强教育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培训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，组织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开展政治理论、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市场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建设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行业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监管、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行政执法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等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方面的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专题培训研讨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加强能源监管国际合作交流，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适时举办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亚太能源监管论坛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，开展双边及多边监管合作</w:t>
      </w:r>
      <w:r>
        <w:rPr>
          <w:rFonts w:hint="default" w:ascii="Times New Roman" w:hAnsi="Times New Roman" w:eastAsia="方正仿宋_GBK" w:cs="Times New Roman"/>
          <w:spacing w:val="6"/>
          <w:sz w:val="30"/>
          <w:szCs w:val="30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pacing w:val="6"/>
          <w:sz w:val="30"/>
          <w:szCs w:val="30"/>
          <w:lang w:eastAsia="zh-CN"/>
        </w:rPr>
        <w:t>坚持严管厚爱相结合，积极营造“组织想干部、干部想工作”浓厚氛围，充分调动和激发干部队伍的积极性、主动性、创造性。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tbl>
      <w:tblPr>
        <w:tblStyle w:val="12"/>
        <w:tblpPr w:vertAnchor="page" w:horzAnchor="page" w:tblpXSpec="center" w:tblpY="1425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8"/>
        <w:gridCol w:w="3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exact"/>
          <w:jc w:val="center"/>
        </w:trPr>
        <w:tc>
          <w:tcPr>
            <w:tcW w:w="5298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320" w:leftChars="10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pacing w:val="0"/>
                <w:kern w:val="2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0"/>
                <w:kern w:val="2"/>
                <w:sz w:val="28"/>
                <w:lang w:val="en-US" w:eastAsia="zh-CN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国家能源局综合司"/>
                  </w:textInput>
                </w:ffData>
              </w:fldChar>
            </w:r>
            <w:r>
              <w:rPr>
                <w:rFonts w:hint="eastAsia" w:ascii="Times New Roman" w:hAnsi="Times New Roman" w:eastAsia="方正仿宋_GBK" w:cs="Times New Roman"/>
                <w:spacing w:val="0"/>
                <w:kern w:val="2"/>
                <w:sz w:val="28"/>
                <w:lang w:val="en-US" w:eastAsia="zh-CN"/>
              </w:rPr>
              <w:instrText xml:space="preserve">FORMTEXT</w:instrText>
            </w:r>
            <w:r>
              <w:rPr>
                <w:rFonts w:hint="eastAsia" w:ascii="Times New Roman" w:hAnsi="Times New Roman" w:eastAsia="方正仿宋_GBK" w:cs="Times New Roman"/>
                <w:spacing w:val="0"/>
                <w:kern w:val="2"/>
                <w:sz w:val="28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方正仿宋_GBK" w:cs="Times New Roman"/>
                <w:spacing w:val="0"/>
                <w:kern w:val="2"/>
                <w:sz w:val="28"/>
                <w:lang w:val="en-US" w:eastAsia="zh-CN"/>
              </w:rPr>
              <w:t>国家能源局综合司</w:t>
            </w:r>
            <w:r>
              <w:rPr>
                <w:rFonts w:hint="eastAsia" w:ascii="Times New Roman" w:hAnsi="Times New Roman" w:eastAsia="方正仿宋_GBK" w:cs="Times New Roman"/>
                <w:spacing w:val="0"/>
                <w:kern w:val="2"/>
                <w:sz w:val="28"/>
                <w:lang w:val="en-US" w:eastAsia="zh-CN"/>
              </w:rPr>
              <w:fldChar w:fldCharType="end"/>
            </w:r>
          </w:p>
        </w:tc>
        <w:tc>
          <w:tcPr>
            <w:tcW w:w="3545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tLeast"/>
              <w:ind w:left="0" w:leftChars="0" w:right="320" w:rightChars="100" w:firstLine="0" w:firstLineChars="0"/>
              <w:jc w:val="righ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pacing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0"/>
                <w:sz w:val="28"/>
                <w:lang w:val="en-US" w:eastAsia="zh-CN"/>
              </w:rPr>
              <w:t>2022年</w:t>
            </w:r>
            <w:r>
              <w:rPr>
                <w:rFonts w:hint="eastAsia" w:ascii="Times New Roman" w:hAnsi="Times New Roman" w:eastAsia="方正仿宋_GBK" w:cs="Times New Roman"/>
                <w:spacing w:val="0"/>
                <w:kern w:val="2"/>
                <w:sz w:val="28"/>
                <w:lang w:val="en-US" w:eastAsia="zh-CN"/>
              </w:rPr>
              <w:t>1月12日印发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HalfWidth"/>
      </w:footnotePr>
      <w:endnotePr>
        <w:numFmt w:val="chineseCounting"/>
      </w:endnotePr>
      <w:pgSz w:w="11905" w:h="16837"/>
      <w:pgMar w:top="2097" w:right="1474" w:bottom="1984" w:left="1587" w:header="566" w:footer="1361" w:gutter="0"/>
      <w:paperSrc/>
      <w:pgNumType w:start="1"/>
      <w:cols w:space="72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34ABCD-4555-4937-BA4F-374449818DB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5892172-89F9-4FB3-A131-4F61A4F4F5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FDDABE6-BFA1-4F96-A1F5-5C2AA21BC6C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EECC1C9-18B6-4AE0-82AA-0B4ABEDBAC13}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B079BA4E-5CAF-466D-9670-D160343A7073}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  <w:embedRegular r:id="rId6" w:fontKey="{F4E0B989-D977-4CC8-826F-F14DAB074E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before="0" w:beforeLines="0" w:after="40" w:afterLines="0" w:line="240" w:lineRule="auto"/>
      <w:ind w:left="0" w:leftChars="0" w:right="567" w:rightChars="0" w:firstLine="0" w:firstLineChars="0"/>
      <w:jc w:val="right"/>
      <w:textAlignment w:val="bottom"/>
      <w:outlineLvl w:val="9"/>
      <w:rPr>
        <w:rFonts w:hint="eastAsia" w:ascii="宋体" w:hAnsi="宋体" w:eastAsia="宋体"/>
        <w:sz w:val="28"/>
        <w:lang w:eastAsia="zh-CN"/>
      </w:rPr>
    </w:pPr>
    <w:r>
      <w:rPr>
        <w:rFonts w:hint="eastAsia" w:ascii="宋体" w:hAnsi="宋体" w:eastAsia="宋体"/>
        <w:spacing w:val="0"/>
        <w:sz w:val="28"/>
        <w:lang w:eastAsia="zh-CN"/>
      </w:rPr>
      <w:t>—</w:t>
    </w:r>
    <w:r>
      <w:rPr>
        <w:rFonts w:hint="eastAsia" w:ascii="宋体" w:hAnsi="宋体" w:eastAsia="宋体"/>
        <w:spacing w:val="0"/>
        <w:sz w:val="28"/>
        <w:lang w:val="en-US" w:eastAsia="zh-CN"/>
      </w:rPr>
      <w:t xml:space="preserve"> </w:t>
    </w:r>
    <w:r>
      <w:rPr>
        <w:rFonts w:hint="eastAsia" w:eastAsia="宋体"/>
        <w:spacing w:val="0"/>
        <w:sz w:val="28"/>
      </w:rPr>
      <w:fldChar w:fldCharType="begin"/>
    </w:r>
    <w:r>
      <w:rPr>
        <w:rFonts w:hint="eastAsia" w:eastAsia="宋体"/>
        <w:spacing w:val="0"/>
        <w:sz w:val="28"/>
      </w:rPr>
      <w:instrText xml:space="preserve"> PAGE \* Arabic \* MERGEFORMAT </w:instrText>
    </w:r>
    <w:r>
      <w:rPr>
        <w:rFonts w:hint="eastAsia" w:eastAsia="宋体"/>
        <w:spacing w:val="0"/>
        <w:sz w:val="28"/>
      </w:rPr>
      <w:fldChar w:fldCharType="separate"/>
    </w:r>
    <w:r>
      <w:t>1</w:t>
    </w:r>
    <w:r>
      <w:rPr>
        <w:rFonts w:hint="eastAsia" w:eastAsia="宋体"/>
        <w:spacing w:val="0"/>
        <w:sz w:val="28"/>
      </w:rPr>
      <w:fldChar w:fldCharType="end"/>
    </w:r>
    <w:r>
      <w:rPr>
        <w:rFonts w:hint="eastAsia" w:eastAsia="宋体"/>
        <w:spacing w:val="0"/>
        <w:sz w:val="28"/>
        <w:lang w:val="en-US" w:eastAsia="zh-CN"/>
      </w:rPr>
      <w:t xml:space="preserve"> </w:t>
    </w:r>
    <w:r>
      <w:rPr>
        <w:rFonts w:hint="eastAsia" w:ascii="宋体" w:hAnsi="宋体" w:eastAsia="宋体"/>
        <w:sz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before="0" w:beforeLines="0" w:beforeAutospacing="0" w:after="40" w:afterLines="0" w:afterAutospacing="0" w:line="240" w:lineRule="auto"/>
      <w:ind w:left="567" w:leftChars="0" w:right="0" w:rightChars="0" w:firstLine="0" w:firstLineChars="0"/>
      <w:jc w:val="both"/>
      <w:textAlignment w:val="bottom"/>
      <w:outlineLvl w:val="9"/>
      <w:rPr>
        <w:rFonts w:hint="eastAsia" w:ascii="宋体" w:hAnsi="宋体" w:eastAsia="宋体"/>
        <w:sz w:val="28"/>
        <w:lang w:eastAsia="zh-CN"/>
      </w:rPr>
    </w:pPr>
    <w:r>
      <w:rPr>
        <w:rFonts w:hint="eastAsia" w:ascii="宋体" w:hAnsi="宋体" w:eastAsia="宋体"/>
        <w:spacing w:val="0"/>
        <w:sz w:val="28"/>
        <w:lang w:eastAsia="zh-CN"/>
      </w:rPr>
      <w:t>—</w:t>
    </w:r>
    <w:r>
      <w:rPr>
        <w:rFonts w:hint="eastAsia" w:ascii="宋体" w:hAnsi="宋体" w:eastAsia="宋体"/>
        <w:spacing w:val="0"/>
        <w:sz w:val="28"/>
        <w:lang w:val="en-US" w:eastAsia="zh-CN"/>
      </w:rPr>
      <w:t xml:space="preserve"> </w:t>
    </w:r>
    <w:r>
      <w:rPr>
        <w:rFonts w:hint="eastAsia"/>
        <w:sz w:val="28"/>
      </w:rPr>
      <w:fldChar w:fldCharType="begin"/>
    </w:r>
    <w:r>
      <w:rPr>
        <w:rFonts w:hint="eastAsia"/>
        <w:sz w:val="28"/>
      </w:rPr>
      <w:instrText xml:space="preserve"> PAGE \* Arabic \* MERGEFORMAT </w:instrText>
    </w:r>
    <w:r>
      <w:rPr>
        <w:rFonts w:hint="eastAsia"/>
        <w:sz w:val="28"/>
      </w:rPr>
      <w:fldChar w:fldCharType="separate"/>
    </w:r>
    <w:r>
      <w:t>2</w:t>
    </w:r>
    <w:r>
      <w:rPr>
        <w:rFonts w:hint="eastAsia"/>
        <w:sz w:val="28"/>
      </w:rPr>
      <w:fldChar w:fldCharType="end"/>
    </w:r>
    <w:r>
      <w:rPr>
        <w:rFonts w:hint="eastAsia"/>
        <w:sz w:val="28"/>
        <w:lang w:val="en-US" w:eastAsia="zh-CN"/>
      </w:rPr>
      <w:t xml:space="preserve"> </w:t>
    </w:r>
    <w:r>
      <w:rPr>
        <w:rFonts w:hint="eastAsia" w:ascii="宋体" w:hAnsi="宋体" w:eastAsia="宋体"/>
        <w:sz w:val="28"/>
        <w:lang w:eastAsia="zh-CN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6" w:lineRule="auto"/>
      </w:pPr>
      <w:r>
        <w:separator/>
      </w:r>
    </w:p>
  </w:footnote>
  <w:footnote w:type="continuationSeparator" w:id="1">
    <w:p>
      <w:pPr>
        <w:spacing w:before="0" w:after="0" w:line="34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839"/>
  <w:hyphenationZone w:val="360"/>
  <w:evenAndOddHeaders w:val="1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6E52710"/>
    <w:rsid w:val="7FFD97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before="0" w:beforeLines="0" w:after="0" w:afterLines="0" w:line="346" w:lineRule="auto"/>
      <w:ind w:left="1" w:right="0" w:firstLine="419" w:firstLineChars="0"/>
      <w:jc w:val="both"/>
      <w:textAlignment w:val="bottom"/>
    </w:pPr>
    <w:rPr>
      <w:rFonts w:eastAsia="仿宋_GB2312"/>
      <w:sz w:val="32"/>
    </w:rPr>
  </w:style>
  <w:style w:type="paragraph" w:styleId="2">
    <w:name w:val="heading 1"/>
    <w:basedOn w:val="1"/>
    <w:next w:val="3"/>
    <w:uiPriority w:val="0"/>
    <w:pPr>
      <w:spacing w:before="104" w:beforeLines="0" w:after="104" w:afterLines="0" w:line="0" w:lineRule="atLeast"/>
      <w:ind w:firstLine="0" w:firstLineChars="0"/>
      <w:jc w:val="center"/>
      <w:outlineLvl w:val="0"/>
    </w:pPr>
    <w:rPr>
      <w:rFonts w:ascii="Arial" w:hAnsi="Arial" w:eastAsia="黑体"/>
      <w:sz w:val="32"/>
    </w:rPr>
  </w:style>
  <w:style w:type="paragraph" w:styleId="3">
    <w:name w:val="heading 2"/>
    <w:basedOn w:val="1"/>
    <w:next w:val="4"/>
    <w:uiPriority w:val="0"/>
    <w:pPr>
      <w:spacing w:line="0" w:lineRule="atLeast"/>
      <w:ind w:firstLine="0" w:firstLineChars="0"/>
      <w:jc w:val="center"/>
      <w:outlineLvl w:val="1"/>
    </w:pPr>
    <w:rPr>
      <w:rFonts w:ascii="Times New Roman" w:hAnsi="Times New Roman"/>
      <w:sz w:val="28"/>
    </w:rPr>
  </w:style>
  <w:style w:type="paragraph" w:styleId="4">
    <w:name w:val="heading 3"/>
    <w:basedOn w:val="1"/>
    <w:next w:val="1"/>
    <w:uiPriority w:val="0"/>
    <w:pPr>
      <w:spacing w:before="104" w:beforeLines="0" w:after="104" w:afterLines="0"/>
      <w:ind w:firstLine="0" w:firstLineChars="0"/>
      <w:outlineLvl w:val="2"/>
    </w:pPr>
    <w:rPr>
      <w:rFonts w:eastAsia="黑体"/>
    </w:rPr>
  </w:style>
  <w:style w:type="character" w:default="1" w:styleId="13">
    <w:name w:val="Default Paragraph Font"/>
    <w:uiPriority w:val="0"/>
  </w:style>
  <w:style w:type="table" w:default="1" w:styleId="12">
    <w:name w:val="Normal Table"/>
    <w:semiHidden/>
    <w:qFormat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iPriority w:val="0"/>
    <w:pPr>
      <w:spacing w:line="306" w:lineRule="auto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oc 1"/>
    <w:basedOn w:val="1"/>
    <w:next w:val="1"/>
    <w:uiPriority w:val="0"/>
    <w:pPr>
      <w:spacing w:after="104" w:afterLines="0" w:line="0" w:lineRule="atLeast"/>
      <w:ind w:firstLine="0" w:firstLineChars="0"/>
      <w:jc w:val="left"/>
    </w:pPr>
    <w:rPr>
      <w:rFonts w:ascii="Arial" w:hAnsi="Arial" w:eastAsia="黑体"/>
      <w:sz w:val="28"/>
    </w:rPr>
  </w:style>
  <w:style w:type="paragraph" w:styleId="8">
    <w:name w:val="toc 4"/>
    <w:basedOn w:val="1"/>
    <w:next w:val="1"/>
    <w:uiPriority w:val="0"/>
    <w:pPr>
      <w:spacing w:line="306" w:lineRule="auto"/>
      <w:ind w:firstLine="629" w:firstLineChars="0"/>
    </w:pPr>
  </w:style>
  <w:style w:type="paragraph" w:styleId="9">
    <w:name w:val="toc 2"/>
    <w:basedOn w:val="1"/>
    <w:next w:val="1"/>
    <w:uiPriority w:val="0"/>
    <w:pPr>
      <w:spacing w:line="306" w:lineRule="auto"/>
      <w:ind w:firstLine="209" w:firstLineChars="0"/>
    </w:pPr>
  </w:style>
  <w:style w:type="paragraph" w:styleId="10">
    <w:name w:val="Title"/>
    <w:basedOn w:val="1"/>
    <w:next w:val="11"/>
    <w:uiPriority w:val="0"/>
    <w:pPr>
      <w:spacing w:before="209" w:beforeLines="0" w:after="209" w:afterLines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paragraph" w:customStyle="1" w:styleId="11">
    <w:name w:val="文章附标题"/>
    <w:basedOn w:val="1"/>
    <w:next w:val="2"/>
    <w:uiPriority w:val="0"/>
    <w:pPr>
      <w:spacing w:before="104" w:beforeLines="0" w:after="104" w:afterLines="0" w:line="0" w:lineRule="atLeast"/>
      <w:ind w:firstLine="0" w:firstLineChars="0"/>
      <w:jc w:val="center"/>
    </w:pPr>
    <w:rPr>
      <w:sz w:val="36"/>
    </w:rPr>
  </w:style>
  <w:style w:type="character" w:styleId="14">
    <w:name w:val="page number"/>
    <w:basedOn w:val="13"/>
    <w:uiPriority w:val="0"/>
  </w:style>
  <w:style w:type="character" w:customStyle="1" w:styleId="15">
    <w:name w:val="页码 New"/>
    <w:basedOn w:val="13"/>
    <w:uiPriority w:val="0"/>
  </w:style>
  <w:style w:type="character" w:customStyle="1" w:styleId="16">
    <w:name w:val="链接"/>
    <w:basedOn w:val="13"/>
    <w:uiPriority w:val="0"/>
    <w:rPr>
      <w:color w:val="0000FF"/>
      <w:u w:val="single" w:color="0000FF"/>
    </w:rPr>
  </w:style>
  <w:style w:type="character" w:customStyle="1" w:styleId="17">
    <w:name w:val="超级链接"/>
    <w:basedOn w:val="13"/>
    <w:uiPriority w:val="0"/>
    <w:rPr>
      <w:color w:val="0000FF"/>
      <w:u w:val="single" w:color="0000FF"/>
    </w:rPr>
  </w:style>
  <w:style w:type="paragraph" w:customStyle="1" w:styleId="18">
    <w:name w:val="正文 New New New New New New New New New New New New New New New New New New New"/>
    <w:uiPriority w:val="0"/>
    <w:pPr>
      <w:widowControl w:val="0"/>
      <w:spacing w:before="0" w:beforeLines="0" w:after="0" w:afterLines="0" w:line="346" w:lineRule="auto"/>
      <w:ind w:left="1" w:right="0" w:firstLine="419" w:firstLineChars="0"/>
      <w:jc w:val="both"/>
      <w:textAlignment w:val="bottom"/>
    </w:pPr>
    <w:rPr>
      <w:rFonts w:eastAsia="仿宋_GB2312"/>
      <w:sz w:val="32"/>
    </w:rPr>
  </w:style>
  <w:style w:type="paragraph" w:customStyle="1" w:styleId="19">
    <w:name w:val="页脚 New"/>
    <w:basedOn w:val="20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customStyle="1" w:styleId="20">
    <w:name w:val="正文 New New"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lang w:val="en-US" w:eastAsia="zh-CN"/>
    </w:rPr>
  </w:style>
  <w:style w:type="paragraph" w:customStyle="1" w:styleId="21">
    <w:name w:val="正文 New New New New New New New New New New New New New New New New New New New New New New New New New"/>
    <w:uiPriority w:val="0"/>
    <w:pPr>
      <w:widowControl w:val="0"/>
      <w:spacing w:before="0" w:beforeLines="0" w:after="0" w:afterLines="0" w:line="346" w:lineRule="auto"/>
      <w:ind w:left="1" w:right="0" w:firstLine="419" w:firstLineChars="0"/>
      <w:jc w:val="both"/>
      <w:textAlignment w:val="bottom"/>
    </w:pPr>
    <w:rPr>
      <w:rFonts w:eastAsia="仿宋_GB2312"/>
      <w:sz w:val="32"/>
    </w:rPr>
  </w:style>
  <w:style w:type="paragraph" w:customStyle="1" w:styleId="22">
    <w:name w:val="正文 New New New New New New New New New New New New New New New New New New New New New New New New"/>
    <w:uiPriority w:val="0"/>
    <w:pPr>
      <w:widowControl w:val="0"/>
      <w:spacing w:before="0" w:beforeLines="0" w:after="0" w:afterLines="0" w:line="346" w:lineRule="auto"/>
      <w:ind w:left="1" w:right="0" w:firstLine="419" w:firstLineChars="0"/>
      <w:jc w:val="both"/>
      <w:textAlignment w:val="bottom"/>
    </w:pPr>
    <w:rPr>
      <w:rFonts w:eastAsia="仿宋_GB2312"/>
      <w:sz w:val="32"/>
    </w:rPr>
  </w:style>
  <w:style w:type="paragraph" w:customStyle="1" w:styleId="23">
    <w:name w:val="页脚 New New"/>
    <w:basedOn w:val="24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customStyle="1" w:styleId="24">
    <w:name w:val="正文 New New New"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lang w:val="en-US" w:eastAsia="zh-CN"/>
    </w:rPr>
  </w:style>
  <w:style w:type="paragraph" w:customStyle="1" w:styleId="25">
    <w:name w:val="WPS Plain"/>
    <w:uiPriority w:val="0"/>
  </w:style>
  <w:style w:type="paragraph" w:customStyle="1" w:styleId="26">
    <w:name w:val="正文 New"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lang w:val="en-US" w:eastAsia="zh-CN"/>
    </w:rPr>
  </w:style>
  <w:style w:type="paragraph" w:customStyle="1" w:styleId="27">
    <w:name w:val="页脚 New New New"/>
    <w:basedOn w:val="28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customStyle="1" w:styleId="28">
    <w:name w:val="正文 New New New New"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lang w:val="en-US" w:eastAsia="zh-CN"/>
    </w:rPr>
  </w:style>
  <w:style w:type="paragraph" w:customStyle="1" w:styleId="29">
    <w:name w:val="目录标题"/>
    <w:basedOn w:val="1"/>
    <w:next w:val="1"/>
    <w:uiPriority w:val="0"/>
    <w:pPr>
      <w:spacing w:before="209" w:beforeLines="0" w:after="209" w:afterLines="0" w:line="0" w:lineRule="atLeast"/>
      <w:jc w:val="center"/>
    </w:pPr>
    <w:rPr>
      <w:rFonts w:ascii="Arial" w:hAnsi="Arial" w:eastAsia="黑体"/>
      <w:spacing w:val="209"/>
      <w:sz w:val="52"/>
    </w:rPr>
  </w:style>
  <w:style w:type="paragraph" w:customStyle="1" w:styleId="30">
    <w:name w:val="正文 New New New New New New New New New New New New New New New New New New New New New New New New New New"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or\Desktop\&#22269;&#33021;&#21457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国能发.dot</Template>
  <Pages>2</Pages>
  <Words>0</Words>
  <Characters>0</Characters>
  <Lines>0</Lines>
  <Paragraphs>0</Paragraphs>
  <TotalTime>13.3333333333333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2012-07-19T09:21:03Z</dcterms:created>
  <dc:creator>WYS</dc:creator>
  <cp:lastModifiedBy>小玉</cp:lastModifiedBy>
  <cp:lastPrinted>2022-01-13T11:35:15Z</cp:lastPrinted>
  <dcterms:modified xsi:type="dcterms:W3CDTF">2022-01-20T08:58:39Z</dcterms:modified>
  <dc:title>公文份数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3CAFDF7732DA477681BF07D81E840C81</vt:lpwstr>
  </property>
</Properties>
</file>